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F0" w:rsidRPr="001B03F0" w:rsidRDefault="00A84414" w:rsidP="00372E90">
      <w:pPr>
        <w:pStyle w:val="BodyTextIndent"/>
        <w:tabs>
          <w:tab w:val="clear" w:pos="540"/>
          <w:tab w:val="left" w:pos="0"/>
        </w:tabs>
        <w:ind w:left="0"/>
        <w:jc w:val="center"/>
        <w:rPr>
          <w:b/>
          <w:bCs/>
          <w:i/>
          <w:iCs/>
          <w:sz w:val="32"/>
          <w:szCs w:val="32"/>
        </w:rPr>
      </w:pPr>
      <w:r>
        <w:rPr>
          <w:b/>
          <w:bCs/>
          <w:i/>
          <w:iCs/>
          <w:sz w:val="32"/>
          <w:szCs w:val="32"/>
        </w:rPr>
        <w:t xml:space="preserve">Investments </w:t>
      </w:r>
      <w:r w:rsidR="001B03F0" w:rsidRPr="001B03F0">
        <w:rPr>
          <w:b/>
          <w:bCs/>
          <w:i/>
          <w:iCs/>
          <w:sz w:val="32"/>
          <w:szCs w:val="32"/>
        </w:rPr>
        <w:t xml:space="preserve">Disclosure </w:t>
      </w:r>
      <w:r w:rsidR="00532F90">
        <w:rPr>
          <w:b/>
          <w:bCs/>
          <w:i/>
          <w:iCs/>
          <w:sz w:val="32"/>
          <w:szCs w:val="32"/>
        </w:rPr>
        <w:t xml:space="preserve">Footnote </w:t>
      </w:r>
      <w:r w:rsidR="001B03F0" w:rsidRPr="001B03F0">
        <w:rPr>
          <w:b/>
          <w:bCs/>
          <w:i/>
          <w:iCs/>
          <w:sz w:val="32"/>
          <w:szCs w:val="32"/>
        </w:rPr>
        <w:t>Template</w:t>
      </w:r>
      <w:r w:rsidR="00372E90">
        <w:rPr>
          <w:b/>
          <w:bCs/>
          <w:i/>
          <w:iCs/>
          <w:sz w:val="32"/>
          <w:szCs w:val="32"/>
        </w:rPr>
        <w:t xml:space="preserve"> – </w:t>
      </w:r>
      <w:r w:rsidR="006B4722">
        <w:rPr>
          <w:b/>
          <w:bCs/>
          <w:i/>
          <w:iCs/>
          <w:sz w:val="32"/>
          <w:szCs w:val="32"/>
        </w:rPr>
        <w:t>Other Entities</w:t>
      </w:r>
    </w:p>
    <w:p w:rsidR="00997BD2" w:rsidRDefault="00997BD2" w:rsidP="00997BD2">
      <w:pPr>
        <w:pStyle w:val="Header"/>
        <w:jc w:val="center"/>
      </w:pPr>
      <w:r w:rsidRPr="00997BD2">
        <w:rPr>
          <w:highlight w:val="yellow"/>
        </w:rPr>
        <w:t>Revised 7-1</w:t>
      </w:r>
      <w:r w:rsidR="00F43952">
        <w:rPr>
          <w:highlight w:val="yellow"/>
        </w:rPr>
        <w:t>9</w:t>
      </w:r>
      <w:r w:rsidRPr="00997BD2">
        <w:rPr>
          <w:highlight w:val="yellow"/>
        </w:rPr>
        <w:t>-18</w:t>
      </w:r>
    </w:p>
    <w:p w:rsidR="001B03F0" w:rsidRDefault="001B03F0" w:rsidP="00997BD2">
      <w:pPr>
        <w:pStyle w:val="BodyTextIndent"/>
        <w:tabs>
          <w:tab w:val="clear" w:pos="540"/>
          <w:tab w:val="left" w:pos="0"/>
        </w:tabs>
        <w:ind w:left="0"/>
        <w:jc w:val="center"/>
        <w:rPr>
          <w:b/>
          <w:bCs/>
          <w:iCs/>
          <w:sz w:val="22"/>
          <w:szCs w:val="22"/>
        </w:rPr>
      </w:pPr>
    </w:p>
    <w:p w:rsidR="00997BD2" w:rsidRDefault="00997BD2" w:rsidP="00997BD2">
      <w:pPr>
        <w:pStyle w:val="BodyTextIndent"/>
        <w:tabs>
          <w:tab w:val="clear" w:pos="540"/>
          <w:tab w:val="left" w:pos="0"/>
        </w:tabs>
        <w:ind w:left="0"/>
        <w:jc w:val="center"/>
        <w:rPr>
          <w:b/>
          <w:bCs/>
          <w:iCs/>
          <w:sz w:val="22"/>
          <w:szCs w:val="22"/>
        </w:rPr>
      </w:pPr>
    </w:p>
    <w:p w:rsidR="00A84414" w:rsidRPr="007F0142" w:rsidRDefault="00A84414" w:rsidP="00A84414">
      <w:pPr>
        <w:rPr>
          <w:sz w:val="22"/>
          <w:szCs w:val="22"/>
        </w:rPr>
      </w:pPr>
      <w:r w:rsidRPr="007F0142">
        <w:rPr>
          <w:sz w:val="22"/>
          <w:szCs w:val="22"/>
          <w:u w:val="single"/>
        </w:rPr>
        <w:t>Footnote 1, Summary of Significant Accounting Policies</w:t>
      </w:r>
      <w:r w:rsidRPr="007F0142">
        <w:rPr>
          <w:sz w:val="22"/>
          <w:szCs w:val="22"/>
        </w:rPr>
        <w:t>:</w:t>
      </w:r>
    </w:p>
    <w:p w:rsidR="00A84414" w:rsidRPr="007F0142" w:rsidRDefault="00A84414" w:rsidP="00A84414">
      <w:pPr>
        <w:rPr>
          <w:sz w:val="22"/>
          <w:szCs w:val="22"/>
        </w:rPr>
      </w:pPr>
    </w:p>
    <w:p w:rsidR="00A84414" w:rsidRPr="007F0142" w:rsidRDefault="002A3813" w:rsidP="00A84414">
      <w:pPr>
        <w:rPr>
          <w:i/>
          <w:sz w:val="22"/>
          <w:szCs w:val="22"/>
        </w:rPr>
      </w:pPr>
      <w:r w:rsidRPr="007F0142">
        <w:rPr>
          <w:i/>
          <w:sz w:val="22"/>
          <w:szCs w:val="22"/>
        </w:rPr>
        <w:t xml:space="preserve">Cash &amp; Cash Equivalents and </w:t>
      </w:r>
      <w:r w:rsidR="00A84414" w:rsidRPr="007F0142">
        <w:rPr>
          <w:i/>
          <w:sz w:val="22"/>
          <w:szCs w:val="22"/>
        </w:rPr>
        <w:t>Investments</w:t>
      </w:r>
    </w:p>
    <w:p w:rsidR="00A84414" w:rsidRPr="007F0142" w:rsidRDefault="00A84414" w:rsidP="00A84414">
      <w:pPr>
        <w:rPr>
          <w:i/>
          <w:sz w:val="22"/>
          <w:szCs w:val="22"/>
        </w:rPr>
      </w:pPr>
    </w:p>
    <w:p w:rsidR="002A3813" w:rsidRPr="007F0142" w:rsidRDefault="002A3813" w:rsidP="007F0142">
      <w:pPr>
        <w:jc w:val="both"/>
        <w:rPr>
          <w:sz w:val="22"/>
          <w:szCs w:val="22"/>
        </w:rPr>
      </w:pPr>
      <w:r w:rsidRPr="007F0142">
        <w:rPr>
          <w:sz w:val="22"/>
          <w:szCs w:val="22"/>
        </w:rPr>
        <w:t xml:space="preserve">Cash and Cash Equivalents are generally </w:t>
      </w:r>
      <w:bookmarkStart w:id="0" w:name="_GoBack"/>
      <w:bookmarkEnd w:id="0"/>
      <w:r w:rsidRPr="007F0142">
        <w:rPr>
          <w:sz w:val="22"/>
          <w:szCs w:val="22"/>
        </w:rPr>
        <w:t>considered short-term, highly liquid investments with a maturity of three months or less from the purchase date.</w:t>
      </w:r>
    </w:p>
    <w:p w:rsidR="002A3813" w:rsidRPr="007F0142" w:rsidRDefault="002A3813" w:rsidP="007F0142">
      <w:pPr>
        <w:jc w:val="both"/>
        <w:rPr>
          <w:sz w:val="22"/>
          <w:szCs w:val="22"/>
        </w:rPr>
      </w:pPr>
    </w:p>
    <w:p w:rsidR="00A84414" w:rsidRPr="007F0142" w:rsidRDefault="00A84414" w:rsidP="007F0142">
      <w:pPr>
        <w:jc w:val="both"/>
        <w:rPr>
          <w:spacing w:val="-4"/>
          <w:sz w:val="22"/>
          <w:szCs w:val="22"/>
        </w:rPr>
      </w:pPr>
      <w:r w:rsidRPr="007F0142">
        <w:rPr>
          <w:spacing w:val="-4"/>
          <w:sz w:val="22"/>
          <w:szCs w:val="22"/>
        </w:rPr>
        <w:t xml:space="preserve">Investments are recorded at fair value in accordance with GASB Statement No. 72, </w:t>
      </w:r>
      <w:r w:rsidRPr="007F0142">
        <w:rPr>
          <w:i/>
          <w:spacing w:val="-4"/>
          <w:sz w:val="22"/>
          <w:szCs w:val="22"/>
        </w:rPr>
        <w:t>Fair Value Measurement and Application</w:t>
      </w:r>
      <w:r w:rsidRPr="007F0142">
        <w:rPr>
          <w:spacing w:val="-4"/>
          <w:sz w:val="22"/>
          <w:szCs w:val="22"/>
        </w:rPr>
        <w:t xml:space="preserve">.  Accordingly, the change in fair value of investments is recognized as an increase or decrease to investment assets and investment income.  </w:t>
      </w:r>
    </w:p>
    <w:p w:rsidR="006B4722" w:rsidRPr="007F0142" w:rsidRDefault="006B4722" w:rsidP="00A84414">
      <w:pPr>
        <w:rPr>
          <w:sz w:val="22"/>
          <w:szCs w:val="22"/>
        </w:rPr>
      </w:pPr>
    </w:p>
    <w:p w:rsidR="00A84414" w:rsidRPr="007F0142" w:rsidRDefault="00627BD7" w:rsidP="00A84414">
      <w:pPr>
        <w:rPr>
          <w:sz w:val="22"/>
          <w:szCs w:val="22"/>
          <w:u w:val="single"/>
        </w:rPr>
      </w:pPr>
      <w:r w:rsidRPr="007F0142">
        <w:rPr>
          <w:sz w:val="22"/>
          <w:szCs w:val="22"/>
          <w:u w:val="single"/>
        </w:rPr>
        <w:t xml:space="preserve">Deposits &amp; </w:t>
      </w:r>
      <w:r w:rsidR="00A84414" w:rsidRPr="007F0142">
        <w:rPr>
          <w:sz w:val="22"/>
          <w:szCs w:val="22"/>
          <w:u w:val="single"/>
        </w:rPr>
        <w:t>Investment Footnote</w:t>
      </w:r>
      <w:r w:rsidRPr="007F0142">
        <w:rPr>
          <w:sz w:val="22"/>
          <w:szCs w:val="22"/>
          <w:u w:val="single"/>
        </w:rPr>
        <w:t xml:space="preserve"> </w:t>
      </w:r>
      <w:r w:rsidRPr="007F0142">
        <w:rPr>
          <w:sz w:val="22"/>
          <w:szCs w:val="22"/>
          <w:highlight w:val="yellow"/>
        </w:rPr>
        <w:t>[option to have “Deposits” as a separate footnote]</w:t>
      </w:r>
    </w:p>
    <w:p w:rsidR="00D26A06" w:rsidRPr="007F0142" w:rsidRDefault="00D26A06" w:rsidP="00D26A06">
      <w:pPr>
        <w:pStyle w:val="BodyTextIndent"/>
        <w:tabs>
          <w:tab w:val="clear" w:pos="540"/>
          <w:tab w:val="left" w:pos="0"/>
        </w:tabs>
        <w:ind w:left="0"/>
        <w:jc w:val="left"/>
        <w:rPr>
          <w:sz w:val="22"/>
          <w:szCs w:val="22"/>
        </w:rPr>
      </w:pPr>
    </w:p>
    <w:p w:rsidR="00627BD7" w:rsidRPr="007F0142" w:rsidRDefault="00627BD7" w:rsidP="00627BD7">
      <w:pPr>
        <w:pStyle w:val="Heading1"/>
        <w:jc w:val="both"/>
        <w:rPr>
          <w:b/>
          <w:bCs/>
          <w:sz w:val="22"/>
          <w:szCs w:val="22"/>
        </w:rPr>
      </w:pPr>
      <w:r w:rsidRPr="007F0142">
        <w:rPr>
          <w:b/>
          <w:bCs/>
          <w:sz w:val="22"/>
          <w:szCs w:val="22"/>
        </w:rPr>
        <w:t>Deposits</w:t>
      </w:r>
    </w:p>
    <w:p w:rsidR="00627BD7" w:rsidRPr="007F0142" w:rsidRDefault="00627BD7" w:rsidP="00627BD7">
      <w:pPr>
        <w:jc w:val="both"/>
        <w:rPr>
          <w:sz w:val="22"/>
          <w:szCs w:val="22"/>
        </w:rPr>
      </w:pPr>
    </w:p>
    <w:p w:rsidR="00627BD7" w:rsidRPr="007F0142" w:rsidRDefault="00627BD7" w:rsidP="00627BD7">
      <w:pPr>
        <w:pStyle w:val="Heading1"/>
        <w:jc w:val="both"/>
        <w:rPr>
          <w:sz w:val="22"/>
          <w:szCs w:val="22"/>
        </w:rPr>
      </w:pPr>
      <w:r w:rsidRPr="007F0142">
        <w:rPr>
          <w:sz w:val="22"/>
          <w:szCs w:val="22"/>
        </w:rPr>
        <w:t>Custodial Credit Risk</w:t>
      </w:r>
    </w:p>
    <w:p w:rsidR="00627BD7" w:rsidRPr="007F0142" w:rsidRDefault="00627BD7" w:rsidP="00627BD7">
      <w:pPr>
        <w:jc w:val="both"/>
        <w:rPr>
          <w:sz w:val="22"/>
          <w:szCs w:val="22"/>
        </w:rPr>
      </w:pPr>
    </w:p>
    <w:p w:rsidR="00627BD7" w:rsidRPr="007F0142" w:rsidRDefault="00627BD7" w:rsidP="00627BD7">
      <w:pPr>
        <w:tabs>
          <w:tab w:val="right" w:pos="7920"/>
        </w:tabs>
        <w:jc w:val="both"/>
        <w:rPr>
          <w:sz w:val="22"/>
          <w:szCs w:val="22"/>
        </w:rPr>
      </w:pPr>
      <w:r w:rsidRPr="007F0142">
        <w:rPr>
          <w:sz w:val="22"/>
          <w:szCs w:val="22"/>
        </w:rPr>
        <w:t xml:space="preserve">Custodial credit risk is the risk that, in the event of a bank failure, the </w:t>
      </w:r>
      <w:r w:rsidRPr="007F0142">
        <w:rPr>
          <w:b/>
          <w:bCs/>
          <w:i/>
          <w:iCs/>
          <w:sz w:val="22"/>
          <w:szCs w:val="22"/>
          <w:highlight w:val="yellow"/>
        </w:rPr>
        <w:t>Entity’s</w:t>
      </w:r>
      <w:r w:rsidRPr="007F0142">
        <w:rPr>
          <w:sz w:val="22"/>
          <w:szCs w:val="22"/>
        </w:rPr>
        <w:t xml:space="preserve"> deposits may not be returned to it.  </w:t>
      </w:r>
      <w:r w:rsidRPr="007F0142">
        <w:rPr>
          <w:sz w:val="22"/>
          <w:szCs w:val="22"/>
          <w:highlight w:val="yellow"/>
        </w:rPr>
        <w:t xml:space="preserve">[Insert </w:t>
      </w:r>
      <w:r w:rsidRPr="007F0142">
        <w:rPr>
          <w:b/>
          <w:i/>
          <w:sz w:val="22"/>
          <w:szCs w:val="22"/>
          <w:highlight w:val="yellow"/>
        </w:rPr>
        <w:t>Entity’s</w:t>
      </w:r>
      <w:r w:rsidRPr="007F0142">
        <w:rPr>
          <w:sz w:val="22"/>
          <w:szCs w:val="22"/>
          <w:highlight w:val="yellow"/>
        </w:rPr>
        <w:t xml:space="preserve"> policy for custodial credit risk or…]</w:t>
      </w:r>
      <w:r w:rsidRPr="007F0142">
        <w:rPr>
          <w:sz w:val="22"/>
          <w:szCs w:val="22"/>
        </w:rPr>
        <w:t xml:space="preserve"> The </w:t>
      </w:r>
      <w:r w:rsidRPr="007F0142">
        <w:rPr>
          <w:b/>
          <w:bCs/>
          <w:i/>
          <w:iCs/>
          <w:sz w:val="22"/>
          <w:szCs w:val="22"/>
          <w:highlight w:val="yellow"/>
        </w:rPr>
        <w:t>Entity</w:t>
      </w:r>
      <w:r w:rsidRPr="007F0142">
        <w:rPr>
          <w:sz w:val="22"/>
          <w:szCs w:val="22"/>
        </w:rPr>
        <w:t xml:space="preserve"> does not have a formal deposit policy for custodial credit risk.  As of June 30, </w:t>
      </w:r>
      <w:r w:rsidRPr="007F0142">
        <w:rPr>
          <w:sz w:val="22"/>
          <w:szCs w:val="22"/>
          <w:highlight w:val="yellow"/>
        </w:rPr>
        <w:t>20xx</w:t>
      </w:r>
      <w:r w:rsidRPr="007F0142">
        <w:rPr>
          <w:sz w:val="22"/>
          <w:szCs w:val="22"/>
        </w:rPr>
        <w:t xml:space="preserve">, </w:t>
      </w:r>
      <w:r w:rsidRPr="007F0142">
        <w:rPr>
          <w:b/>
          <w:sz w:val="22"/>
          <w:szCs w:val="22"/>
          <w:highlight w:val="yellow"/>
        </w:rPr>
        <w:t>$$$</w:t>
      </w:r>
      <w:r w:rsidRPr="007F0142">
        <w:rPr>
          <w:sz w:val="22"/>
          <w:szCs w:val="22"/>
        </w:rPr>
        <w:t xml:space="preserve"> of the </w:t>
      </w:r>
      <w:r w:rsidRPr="007F0142">
        <w:rPr>
          <w:b/>
          <w:bCs/>
          <w:i/>
          <w:iCs/>
          <w:sz w:val="22"/>
          <w:szCs w:val="22"/>
          <w:highlight w:val="yellow"/>
        </w:rPr>
        <w:t>Entity’s</w:t>
      </w:r>
      <w:r w:rsidRPr="007F0142">
        <w:rPr>
          <w:sz w:val="22"/>
          <w:szCs w:val="22"/>
        </w:rPr>
        <w:t xml:space="preserve"> bank balances of </w:t>
      </w:r>
      <w:r w:rsidRPr="007F0142">
        <w:rPr>
          <w:b/>
          <w:sz w:val="22"/>
          <w:szCs w:val="22"/>
          <w:highlight w:val="yellow"/>
        </w:rPr>
        <w:t>$$$</w:t>
      </w:r>
      <w:r w:rsidRPr="007F0142">
        <w:rPr>
          <w:sz w:val="22"/>
          <w:szCs w:val="22"/>
        </w:rPr>
        <w:t xml:space="preserve"> was uninsured and uncollateralized.  </w:t>
      </w:r>
    </w:p>
    <w:p w:rsidR="00627BD7" w:rsidRPr="007F0142" w:rsidRDefault="00627BD7" w:rsidP="00627BD7">
      <w:pPr>
        <w:tabs>
          <w:tab w:val="right" w:pos="7920"/>
        </w:tabs>
        <w:jc w:val="both"/>
        <w:rPr>
          <w:sz w:val="22"/>
          <w:szCs w:val="22"/>
        </w:rPr>
      </w:pPr>
    </w:p>
    <w:p w:rsidR="00627BD7" w:rsidRPr="007F0142" w:rsidRDefault="00627BD7" w:rsidP="00627BD7">
      <w:pPr>
        <w:pStyle w:val="Heading1"/>
        <w:jc w:val="both"/>
        <w:rPr>
          <w:b/>
          <w:bCs/>
          <w:sz w:val="22"/>
          <w:szCs w:val="22"/>
        </w:rPr>
      </w:pPr>
      <w:r w:rsidRPr="007F0142">
        <w:rPr>
          <w:b/>
          <w:bCs/>
          <w:sz w:val="22"/>
          <w:szCs w:val="22"/>
        </w:rPr>
        <w:t>Investments</w:t>
      </w:r>
    </w:p>
    <w:p w:rsidR="00627BD7" w:rsidRPr="007F0142" w:rsidRDefault="00627BD7" w:rsidP="00627BD7">
      <w:pPr>
        <w:tabs>
          <w:tab w:val="right" w:pos="7920"/>
        </w:tabs>
        <w:jc w:val="both"/>
        <w:rPr>
          <w:sz w:val="22"/>
          <w:szCs w:val="22"/>
        </w:rPr>
      </w:pPr>
    </w:p>
    <w:p w:rsidR="00D26A06" w:rsidRPr="007F0142" w:rsidRDefault="00D26A06" w:rsidP="00D26A06">
      <w:pPr>
        <w:pStyle w:val="BodyTextIndent"/>
        <w:tabs>
          <w:tab w:val="clear" w:pos="540"/>
          <w:tab w:val="left" w:pos="0"/>
        </w:tabs>
        <w:ind w:left="0"/>
        <w:rPr>
          <w:sz w:val="22"/>
          <w:szCs w:val="22"/>
        </w:rPr>
      </w:pPr>
      <w:r w:rsidRPr="007F0142">
        <w:rPr>
          <w:sz w:val="22"/>
          <w:szCs w:val="22"/>
        </w:rPr>
        <w:t xml:space="preserve">The State of Utah Money Management Council has the responsibility to advise the </w:t>
      </w:r>
      <w:r w:rsidR="00BA74E9" w:rsidRPr="007F0142">
        <w:rPr>
          <w:sz w:val="22"/>
          <w:szCs w:val="22"/>
        </w:rPr>
        <w:t xml:space="preserve">Utah </w:t>
      </w:r>
      <w:r w:rsidRPr="007F0142">
        <w:rPr>
          <w:sz w:val="22"/>
          <w:szCs w:val="22"/>
        </w:rPr>
        <w:t>State Treasurer about investment policies, promote measures and rules that will assist in strengthening the banking and credit structure of the state, and review the rules adopted under the authority of the State of Utah Money Management Act</w:t>
      </w:r>
      <w:r w:rsidR="00727C86" w:rsidRPr="007F0142">
        <w:rPr>
          <w:sz w:val="22"/>
          <w:szCs w:val="22"/>
        </w:rPr>
        <w:t xml:space="preserve"> (</w:t>
      </w:r>
      <w:r w:rsidR="00727C86" w:rsidRPr="007F0142">
        <w:rPr>
          <w:i/>
          <w:iCs/>
          <w:sz w:val="22"/>
          <w:szCs w:val="22"/>
        </w:rPr>
        <w:t>Utah Code,</w:t>
      </w:r>
      <w:r w:rsidR="00727C86" w:rsidRPr="007F0142">
        <w:rPr>
          <w:iCs/>
          <w:sz w:val="22"/>
          <w:szCs w:val="22"/>
        </w:rPr>
        <w:t xml:space="preserve"> Title 51, Chapter 7</w:t>
      </w:r>
      <w:r w:rsidR="00727C86" w:rsidRPr="007F0142">
        <w:rPr>
          <w:sz w:val="22"/>
          <w:szCs w:val="22"/>
        </w:rPr>
        <w:t>)</w:t>
      </w:r>
      <w:r w:rsidRPr="007F0142">
        <w:rPr>
          <w:sz w:val="22"/>
          <w:szCs w:val="22"/>
        </w:rPr>
        <w:t xml:space="preserve"> </w:t>
      </w:r>
      <w:r w:rsidR="0035702B" w:rsidRPr="007F0142">
        <w:rPr>
          <w:sz w:val="22"/>
          <w:szCs w:val="22"/>
        </w:rPr>
        <w:t xml:space="preserve">(the Act) </w:t>
      </w:r>
      <w:r w:rsidRPr="007F0142">
        <w:rPr>
          <w:sz w:val="22"/>
          <w:szCs w:val="22"/>
        </w:rPr>
        <w:t>that relate to the deposit and investment of public funds.</w:t>
      </w:r>
    </w:p>
    <w:p w:rsidR="00627BD7" w:rsidRPr="007F0142" w:rsidRDefault="00627BD7" w:rsidP="00D26A06">
      <w:pPr>
        <w:tabs>
          <w:tab w:val="left" w:pos="-1181"/>
          <w:tab w:val="left" w:pos="0"/>
          <w:tab w:val="left" w:pos="990"/>
          <w:tab w:val="left" w:pos="2160"/>
          <w:tab w:val="left" w:pos="5040"/>
        </w:tabs>
        <w:jc w:val="both"/>
        <w:rPr>
          <w:color w:val="000000"/>
          <w:sz w:val="22"/>
          <w:szCs w:val="22"/>
        </w:rPr>
      </w:pPr>
    </w:p>
    <w:p w:rsidR="00D26A06" w:rsidRPr="007F0142" w:rsidRDefault="006B4722" w:rsidP="00D26A06">
      <w:pPr>
        <w:tabs>
          <w:tab w:val="left" w:pos="-1181"/>
          <w:tab w:val="left" w:pos="0"/>
          <w:tab w:val="left" w:pos="990"/>
          <w:tab w:val="left" w:pos="2160"/>
          <w:tab w:val="left" w:pos="5040"/>
        </w:tabs>
        <w:jc w:val="both"/>
        <w:rPr>
          <w:color w:val="000000"/>
          <w:sz w:val="22"/>
          <w:szCs w:val="22"/>
        </w:rPr>
      </w:pPr>
      <w:r w:rsidRPr="007F0142">
        <w:rPr>
          <w:color w:val="000000"/>
          <w:sz w:val="22"/>
          <w:szCs w:val="22"/>
        </w:rPr>
        <w:t>The</w:t>
      </w:r>
      <w:r w:rsidR="00D26A06" w:rsidRPr="007F0142">
        <w:rPr>
          <w:color w:val="000000"/>
          <w:sz w:val="22"/>
          <w:szCs w:val="22"/>
        </w:rPr>
        <w:t xml:space="preserve"> </w:t>
      </w:r>
      <w:r w:rsidR="00D26A06" w:rsidRPr="007F0142">
        <w:rPr>
          <w:b/>
          <w:bCs/>
          <w:i/>
          <w:iCs/>
          <w:color w:val="000000"/>
          <w:sz w:val="22"/>
          <w:szCs w:val="22"/>
          <w:highlight w:val="yellow"/>
        </w:rPr>
        <w:t>Entity</w:t>
      </w:r>
      <w:r w:rsidR="00D26A06" w:rsidRPr="007F0142">
        <w:rPr>
          <w:b/>
          <w:bCs/>
          <w:i/>
          <w:iCs/>
          <w:color w:val="000000"/>
          <w:sz w:val="22"/>
          <w:szCs w:val="22"/>
        </w:rPr>
        <w:t xml:space="preserve"> </w:t>
      </w:r>
      <w:r w:rsidR="00D26A06" w:rsidRPr="007F0142">
        <w:rPr>
          <w:color w:val="000000"/>
          <w:sz w:val="22"/>
          <w:szCs w:val="22"/>
        </w:rPr>
        <w:t xml:space="preserve">follows the requirements of the </w:t>
      </w:r>
      <w:r w:rsidR="0035702B" w:rsidRPr="007F0142">
        <w:rPr>
          <w:color w:val="000000"/>
          <w:sz w:val="22"/>
          <w:szCs w:val="22"/>
        </w:rPr>
        <w:t>Act</w:t>
      </w:r>
      <w:r w:rsidR="00D26A06" w:rsidRPr="007F0142">
        <w:rPr>
          <w:color w:val="000000"/>
          <w:sz w:val="22"/>
          <w:szCs w:val="22"/>
        </w:rPr>
        <w:t xml:space="preserve"> in handling its depository and investment transactions.  The Act requires the depositing of </w:t>
      </w:r>
      <w:r w:rsidR="00D26A06" w:rsidRPr="007F0142">
        <w:rPr>
          <w:b/>
          <w:bCs/>
          <w:i/>
          <w:iCs/>
          <w:color w:val="000000"/>
          <w:sz w:val="22"/>
          <w:szCs w:val="22"/>
          <w:highlight w:val="yellow"/>
        </w:rPr>
        <w:t>Entity</w:t>
      </w:r>
      <w:r w:rsidR="00D26A06" w:rsidRPr="007F0142">
        <w:rPr>
          <w:color w:val="000000"/>
          <w:sz w:val="22"/>
          <w:szCs w:val="22"/>
        </w:rPr>
        <w:t xml:space="preserve"> funds in a qualified depository.  The Act defines a qualified depository as any financial institution whose deposits are insured by an agency of the Federal Government and which has been certified by the State Commissioner of Financial Institutions as meeting the requirements of the Act and adhering to the rules of the Utah Money Management Council.</w:t>
      </w:r>
    </w:p>
    <w:p w:rsidR="00D26A06" w:rsidRPr="007F0142" w:rsidRDefault="00D26A06" w:rsidP="00D26A06">
      <w:pPr>
        <w:tabs>
          <w:tab w:val="left" w:pos="-1181"/>
          <w:tab w:val="left" w:pos="0"/>
          <w:tab w:val="left" w:pos="990"/>
          <w:tab w:val="left" w:pos="2160"/>
          <w:tab w:val="left" w:pos="5040"/>
        </w:tabs>
        <w:jc w:val="both"/>
        <w:rPr>
          <w:color w:val="000000"/>
          <w:sz w:val="22"/>
          <w:szCs w:val="22"/>
        </w:rPr>
      </w:pPr>
    </w:p>
    <w:p w:rsidR="00D26A06" w:rsidRPr="007F0142" w:rsidRDefault="00D26A06" w:rsidP="00D26A06">
      <w:pPr>
        <w:tabs>
          <w:tab w:val="left" w:pos="-1181"/>
          <w:tab w:val="left" w:pos="0"/>
          <w:tab w:val="left" w:pos="990"/>
          <w:tab w:val="left" w:pos="2160"/>
          <w:tab w:val="left" w:pos="5040"/>
        </w:tabs>
        <w:jc w:val="both"/>
        <w:rPr>
          <w:color w:val="000000"/>
          <w:sz w:val="22"/>
          <w:szCs w:val="22"/>
        </w:rPr>
      </w:pPr>
      <w:r w:rsidRPr="007F0142">
        <w:rPr>
          <w:color w:val="000000"/>
          <w:sz w:val="22"/>
          <w:szCs w:val="22"/>
        </w:rPr>
        <w:t xml:space="preserve">The </w:t>
      </w:r>
      <w:r w:rsidR="0035702B" w:rsidRPr="007F0142">
        <w:rPr>
          <w:color w:val="000000"/>
          <w:sz w:val="22"/>
          <w:szCs w:val="22"/>
        </w:rPr>
        <w:t>Act</w:t>
      </w:r>
      <w:r w:rsidRPr="007F0142">
        <w:rPr>
          <w:color w:val="000000"/>
          <w:sz w:val="22"/>
          <w:szCs w:val="22"/>
        </w:rPr>
        <w:t xml:space="preserve"> defines the types of securities authorized as appropriate investments for the </w:t>
      </w:r>
      <w:r w:rsidRPr="007F0142">
        <w:rPr>
          <w:b/>
          <w:bCs/>
          <w:i/>
          <w:iCs/>
          <w:color w:val="000000"/>
          <w:sz w:val="22"/>
          <w:szCs w:val="22"/>
          <w:highlight w:val="yellow"/>
        </w:rPr>
        <w:t>Entity’s</w:t>
      </w:r>
      <w:r w:rsidRPr="007F0142">
        <w:rPr>
          <w:b/>
          <w:bCs/>
          <w:i/>
          <w:iCs/>
          <w:color w:val="000000"/>
          <w:sz w:val="22"/>
          <w:szCs w:val="22"/>
        </w:rPr>
        <w:t xml:space="preserve"> </w:t>
      </w:r>
      <w:r w:rsidRPr="007F0142">
        <w:rPr>
          <w:bCs/>
          <w:iCs/>
          <w:color w:val="000000"/>
          <w:sz w:val="22"/>
          <w:szCs w:val="22"/>
        </w:rPr>
        <w:t>funds</w:t>
      </w:r>
      <w:r w:rsidRPr="007F0142">
        <w:rPr>
          <w:b/>
          <w:bCs/>
          <w:i/>
          <w:iCs/>
          <w:color w:val="000000"/>
          <w:sz w:val="22"/>
          <w:szCs w:val="22"/>
        </w:rPr>
        <w:t xml:space="preserve"> </w:t>
      </w:r>
      <w:r w:rsidRPr="007F0142">
        <w:rPr>
          <w:color w:val="000000"/>
          <w:sz w:val="22"/>
          <w:szCs w:val="22"/>
        </w:rPr>
        <w:t xml:space="preserve">and the conditions for making investment transactions.  Investment transactions may be conducted only through qualified depositories, certified dealers, or directly with issuers of the investment securities.  </w:t>
      </w:r>
    </w:p>
    <w:p w:rsidR="00D26A06" w:rsidRPr="007F0142" w:rsidRDefault="00D26A06" w:rsidP="00D26A06">
      <w:pPr>
        <w:tabs>
          <w:tab w:val="left" w:pos="-1181"/>
          <w:tab w:val="left" w:pos="0"/>
          <w:tab w:val="left" w:pos="990"/>
          <w:tab w:val="left" w:pos="2160"/>
          <w:tab w:val="left" w:pos="5040"/>
        </w:tabs>
        <w:jc w:val="both"/>
        <w:rPr>
          <w:color w:val="000000"/>
          <w:sz w:val="22"/>
          <w:szCs w:val="22"/>
        </w:rPr>
      </w:pPr>
    </w:p>
    <w:p w:rsidR="00D26A06" w:rsidRPr="007F0142" w:rsidRDefault="00D26A06" w:rsidP="00D26A06">
      <w:pPr>
        <w:tabs>
          <w:tab w:val="left" w:pos="-1181"/>
          <w:tab w:val="left" w:pos="0"/>
          <w:tab w:val="left" w:pos="990"/>
          <w:tab w:val="left" w:pos="2160"/>
          <w:tab w:val="left" w:pos="5040"/>
        </w:tabs>
        <w:jc w:val="both"/>
        <w:rPr>
          <w:color w:val="000000"/>
          <w:sz w:val="22"/>
          <w:szCs w:val="22"/>
        </w:rPr>
      </w:pPr>
      <w:r w:rsidRPr="007F0142">
        <w:rPr>
          <w:color w:val="000000"/>
          <w:sz w:val="22"/>
          <w:szCs w:val="22"/>
        </w:rPr>
        <w:t xml:space="preserve">Statutes authorize the </w:t>
      </w:r>
      <w:r w:rsidRPr="007F0142">
        <w:rPr>
          <w:b/>
          <w:bCs/>
          <w:i/>
          <w:iCs/>
          <w:color w:val="000000"/>
          <w:sz w:val="22"/>
          <w:szCs w:val="22"/>
          <w:highlight w:val="yellow"/>
        </w:rPr>
        <w:t>Entity</w:t>
      </w:r>
      <w:r w:rsidRPr="007F0142">
        <w:rPr>
          <w:color w:val="000000"/>
          <w:sz w:val="22"/>
          <w:szCs w:val="22"/>
        </w:rPr>
        <w:t xml:space="preserve"> to invest in negotiable or nonnegotiable deposits of qualified </w:t>
      </w:r>
      <w:r w:rsidR="00BA74E9" w:rsidRPr="007F0142">
        <w:rPr>
          <w:color w:val="000000"/>
          <w:sz w:val="22"/>
          <w:szCs w:val="22"/>
        </w:rPr>
        <w:t xml:space="preserve">or </w:t>
      </w:r>
      <w:r w:rsidRPr="007F0142">
        <w:rPr>
          <w:color w:val="000000"/>
          <w:sz w:val="22"/>
          <w:szCs w:val="22"/>
        </w:rPr>
        <w:t xml:space="preserve">permitted depositories; repurchase and reverse repurchase agreements; commercial paper that is classified as “first tier” by two nationally recognized statistical rating organizations; bankers’ acceptances; obligations of the United States Treasury including bills, notes, and bonds; obligations, other than mortgage derivative products, issued by U.S. government sponsored enterprises (U.S. Agencies) such as the Federal Home Loan Bank System, Federal Home Loan Mortgage Corporation (Freddie Mac), and Federal National Mortgage Association (Fannie Mae); bonds, notes, and other evidence of indebtedness of political subdivisions of the State; fixed rate corporate obligations and variable rate securities rated “A” or higher, or the equivalent of “A” or higher, by two nationally recognized statistical rating organizations; shares or </w:t>
      </w:r>
      <w:r w:rsidRPr="007F0142">
        <w:rPr>
          <w:color w:val="000000"/>
          <w:sz w:val="22"/>
          <w:szCs w:val="22"/>
        </w:rPr>
        <w:lastRenderedPageBreak/>
        <w:t xml:space="preserve">certificates in a money market mutual fund as defined in the </w:t>
      </w:r>
      <w:r w:rsidR="0035702B" w:rsidRPr="007F0142">
        <w:rPr>
          <w:color w:val="000000"/>
          <w:sz w:val="22"/>
          <w:szCs w:val="22"/>
        </w:rPr>
        <w:t>Act</w:t>
      </w:r>
      <w:r w:rsidRPr="007F0142">
        <w:rPr>
          <w:color w:val="000000"/>
          <w:sz w:val="22"/>
          <w:szCs w:val="22"/>
        </w:rPr>
        <w:t xml:space="preserve">; and the Utah </w:t>
      </w:r>
      <w:r w:rsidR="00627BD7" w:rsidRPr="007F0142">
        <w:rPr>
          <w:color w:val="000000"/>
          <w:sz w:val="22"/>
          <w:szCs w:val="22"/>
        </w:rPr>
        <w:t>Public Treasurer</w:t>
      </w:r>
      <w:r w:rsidRPr="007F0142">
        <w:rPr>
          <w:color w:val="000000"/>
          <w:sz w:val="22"/>
          <w:szCs w:val="22"/>
        </w:rPr>
        <w:t>s</w:t>
      </w:r>
      <w:r w:rsidR="00627BD7" w:rsidRPr="007F0142">
        <w:rPr>
          <w:color w:val="000000"/>
          <w:sz w:val="22"/>
          <w:szCs w:val="22"/>
        </w:rPr>
        <w:t>’</w:t>
      </w:r>
      <w:r w:rsidR="00BA74E9" w:rsidRPr="007F0142">
        <w:rPr>
          <w:color w:val="000000"/>
          <w:sz w:val="22"/>
          <w:szCs w:val="22"/>
        </w:rPr>
        <w:t xml:space="preserve"> Investment Fund (PTIF).</w:t>
      </w:r>
    </w:p>
    <w:p w:rsidR="00627BD7" w:rsidRPr="007F0142" w:rsidRDefault="00627BD7" w:rsidP="00D26A06">
      <w:pPr>
        <w:tabs>
          <w:tab w:val="left" w:pos="-1181"/>
          <w:tab w:val="left" w:pos="0"/>
          <w:tab w:val="left" w:pos="990"/>
          <w:tab w:val="left" w:pos="2160"/>
          <w:tab w:val="left" w:pos="5040"/>
        </w:tabs>
        <w:jc w:val="both"/>
        <w:rPr>
          <w:color w:val="000000"/>
          <w:sz w:val="22"/>
          <w:szCs w:val="22"/>
        </w:rPr>
      </w:pPr>
    </w:p>
    <w:p w:rsidR="00627BD7" w:rsidRPr="007F0142" w:rsidRDefault="00627BD7" w:rsidP="00627BD7">
      <w:pPr>
        <w:tabs>
          <w:tab w:val="left" w:pos="-1181"/>
          <w:tab w:val="left" w:pos="0"/>
          <w:tab w:val="left" w:pos="990"/>
          <w:tab w:val="left" w:pos="2160"/>
          <w:tab w:val="left" w:pos="5040"/>
        </w:tabs>
        <w:jc w:val="both"/>
        <w:rPr>
          <w:color w:val="000000"/>
          <w:sz w:val="22"/>
          <w:szCs w:val="22"/>
        </w:rPr>
      </w:pPr>
      <w:r w:rsidRPr="007F0142">
        <w:rPr>
          <w:color w:val="000000"/>
          <w:sz w:val="22"/>
          <w:szCs w:val="22"/>
        </w:rPr>
        <w:t xml:space="preserve">The Utah State Treasurer’s Office operates the PTIF.  The PTIF is available for investment of funds administered by any Utah public </w:t>
      </w:r>
      <w:r w:rsidR="00515B86" w:rsidRPr="007F0142">
        <w:rPr>
          <w:color w:val="000000"/>
          <w:sz w:val="22"/>
          <w:szCs w:val="22"/>
        </w:rPr>
        <w:t>treasurer and</w:t>
      </w:r>
      <w:r w:rsidRPr="007F0142">
        <w:rPr>
          <w:color w:val="000000"/>
          <w:sz w:val="22"/>
          <w:szCs w:val="22"/>
        </w:rPr>
        <w:t xml:space="preserve"> is not registered with the </w:t>
      </w:r>
      <w:r w:rsidR="00BA74E9" w:rsidRPr="007F0142">
        <w:rPr>
          <w:color w:val="000000"/>
          <w:sz w:val="22"/>
          <w:szCs w:val="22"/>
        </w:rPr>
        <w:t>Securities and Exchange Commission</w:t>
      </w:r>
      <w:r w:rsidRPr="007F0142">
        <w:rPr>
          <w:color w:val="000000"/>
          <w:sz w:val="22"/>
          <w:szCs w:val="22"/>
        </w:rPr>
        <w:t xml:space="preserve"> as an investment company.  The PTIF is authorized and regulated by the </w:t>
      </w:r>
      <w:r w:rsidR="0035702B" w:rsidRPr="007F0142">
        <w:rPr>
          <w:color w:val="000000"/>
          <w:sz w:val="22"/>
          <w:szCs w:val="22"/>
        </w:rPr>
        <w:t>Act</w:t>
      </w:r>
      <w:r w:rsidRPr="007F0142">
        <w:rPr>
          <w:color w:val="000000"/>
          <w:sz w:val="22"/>
          <w:szCs w:val="22"/>
        </w:rPr>
        <w:t xml:space="preserve">.  The Act established the Money Management Council which oversees the activities of the </w:t>
      </w:r>
      <w:r w:rsidR="00BA74E9" w:rsidRPr="007F0142">
        <w:rPr>
          <w:color w:val="000000"/>
          <w:sz w:val="22"/>
          <w:szCs w:val="22"/>
        </w:rPr>
        <w:t xml:space="preserve">Utah </w:t>
      </w:r>
      <w:r w:rsidRPr="007F0142">
        <w:rPr>
          <w:color w:val="000000"/>
          <w:sz w:val="22"/>
          <w:szCs w:val="22"/>
        </w:rPr>
        <w:t>State Treasurer and the PTIF and details the types of authorized investments.  Deposits in the PTIF are not insured or otherwise guaranteed by the State of Utah, and participants share proportionally in any realized gains or losses on investments.</w:t>
      </w:r>
    </w:p>
    <w:p w:rsidR="00627BD7" w:rsidRPr="007F0142" w:rsidRDefault="00627BD7" w:rsidP="00627BD7">
      <w:pPr>
        <w:tabs>
          <w:tab w:val="left" w:pos="-1181"/>
          <w:tab w:val="left" w:pos="0"/>
          <w:tab w:val="left" w:pos="990"/>
          <w:tab w:val="left" w:pos="2160"/>
          <w:tab w:val="left" w:pos="5040"/>
        </w:tabs>
        <w:jc w:val="both"/>
        <w:rPr>
          <w:color w:val="000000"/>
          <w:sz w:val="22"/>
          <w:szCs w:val="22"/>
        </w:rPr>
      </w:pPr>
    </w:p>
    <w:p w:rsidR="00D26A06" w:rsidRPr="007F0142" w:rsidRDefault="00627BD7" w:rsidP="00D26A06">
      <w:pPr>
        <w:tabs>
          <w:tab w:val="left" w:pos="-1181"/>
          <w:tab w:val="left" w:pos="0"/>
          <w:tab w:val="left" w:pos="990"/>
          <w:tab w:val="left" w:pos="2160"/>
          <w:tab w:val="left" w:pos="5040"/>
        </w:tabs>
        <w:jc w:val="both"/>
        <w:rPr>
          <w:i/>
          <w:color w:val="000000"/>
          <w:sz w:val="22"/>
          <w:szCs w:val="22"/>
        </w:rPr>
      </w:pPr>
      <w:r w:rsidRPr="007F0142">
        <w:rPr>
          <w:i/>
          <w:color w:val="000000"/>
          <w:sz w:val="22"/>
          <w:szCs w:val="22"/>
        </w:rPr>
        <w:t>Fair Value of Investments</w:t>
      </w:r>
    </w:p>
    <w:p w:rsidR="00627BD7" w:rsidRPr="007F0142" w:rsidRDefault="00627BD7" w:rsidP="00D26A06">
      <w:pPr>
        <w:tabs>
          <w:tab w:val="left" w:pos="-1181"/>
          <w:tab w:val="left" w:pos="0"/>
          <w:tab w:val="left" w:pos="990"/>
          <w:tab w:val="left" w:pos="2160"/>
          <w:tab w:val="left" w:pos="5040"/>
        </w:tabs>
        <w:jc w:val="both"/>
        <w:rPr>
          <w:i/>
          <w:color w:val="000000"/>
          <w:sz w:val="22"/>
          <w:szCs w:val="22"/>
          <w:highlight w:val="yellow"/>
        </w:rPr>
      </w:pPr>
    </w:p>
    <w:p w:rsidR="00E41494" w:rsidRPr="007F0142" w:rsidRDefault="00A84414" w:rsidP="00D62363">
      <w:pPr>
        <w:jc w:val="both"/>
        <w:rPr>
          <w:sz w:val="22"/>
          <w:szCs w:val="22"/>
        </w:rPr>
      </w:pPr>
      <w:r w:rsidRPr="007F0142">
        <w:rPr>
          <w:sz w:val="22"/>
          <w:szCs w:val="22"/>
        </w:rPr>
        <w:t xml:space="preserve">The </w:t>
      </w:r>
      <w:r w:rsidRPr="007F0142">
        <w:rPr>
          <w:b/>
          <w:i/>
          <w:sz w:val="22"/>
          <w:szCs w:val="22"/>
          <w:highlight w:val="yellow"/>
        </w:rPr>
        <w:t>Entity</w:t>
      </w:r>
      <w:r w:rsidRPr="007F0142">
        <w:rPr>
          <w:sz w:val="22"/>
          <w:szCs w:val="22"/>
        </w:rPr>
        <w:t xml:space="preserve"> </w:t>
      </w:r>
      <w:r w:rsidR="00E41494" w:rsidRPr="007F0142">
        <w:rPr>
          <w:sz w:val="22"/>
          <w:szCs w:val="22"/>
        </w:rPr>
        <w:t>measures and records its</w:t>
      </w:r>
      <w:r w:rsidRPr="007F0142">
        <w:rPr>
          <w:sz w:val="22"/>
          <w:szCs w:val="22"/>
        </w:rPr>
        <w:t xml:space="preserve"> </w:t>
      </w:r>
      <w:r w:rsidR="00563159" w:rsidRPr="007F0142">
        <w:rPr>
          <w:sz w:val="22"/>
          <w:szCs w:val="22"/>
        </w:rPr>
        <w:t xml:space="preserve">investments </w:t>
      </w:r>
      <w:r w:rsidR="00E41494" w:rsidRPr="007F0142">
        <w:rPr>
          <w:sz w:val="22"/>
          <w:szCs w:val="22"/>
        </w:rPr>
        <w:t xml:space="preserve">using fair value measurement guidelines </w:t>
      </w:r>
      <w:r w:rsidRPr="007F0142">
        <w:rPr>
          <w:sz w:val="22"/>
          <w:szCs w:val="22"/>
        </w:rPr>
        <w:t>established by generally a</w:t>
      </w:r>
      <w:r w:rsidR="00E41494" w:rsidRPr="007F0142">
        <w:rPr>
          <w:sz w:val="22"/>
          <w:szCs w:val="22"/>
        </w:rPr>
        <w:t xml:space="preserve">ccepted accounting principles.  These guidelines </w:t>
      </w:r>
      <w:r w:rsidR="00D3122A" w:rsidRPr="007F0142">
        <w:rPr>
          <w:sz w:val="22"/>
          <w:szCs w:val="22"/>
        </w:rPr>
        <w:t xml:space="preserve">recognize </w:t>
      </w:r>
      <w:r w:rsidR="00E41494" w:rsidRPr="007F0142">
        <w:rPr>
          <w:sz w:val="22"/>
          <w:szCs w:val="22"/>
        </w:rPr>
        <w:t>a three-tiered fair value hierarchy, as follows:</w:t>
      </w:r>
    </w:p>
    <w:p w:rsidR="00E41494" w:rsidRPr="007F0142" w:rsidRDefault="00E41494" w:rsidP="00A84414">
      <w:pPr>
        <w:rPr>
          <w:sz w:val="22"/>
          <w:szCs w:val="22"/>
        </w:rPr>
      </w:pPr>
    </w:p>
    <w:p w:rsidR="00D3122A" w:rsidRPr="007F0142" w:rsidRDefault="00E41494" w:rsidP="00E41494">
      <w:pPr>
        <w:pStyle w:val="ListParagraph"/>
        <w:numPr>
          <w:ilvl w:val="0"/>
          <w:numId w:val="4"/>
        </w:numPr>
        <w:rPr>
          <w:sz w:val="22"/>
          <w:szCs w:val="22"/>
        </w:rPr>
      </w:pPr>
      <w:r w:rsidRPr="007F0142">
        <w:rPr>
          <w:i/>
          <w:sz w:val="22"/>
          <w:szCs w:val="22"/>
        </w:rPr>
        <w:t xml:space="preserve">Level 1: </w:t>
      </w:r>
      <w:r w:rsidR="00D3122A" w:rsidRPr="007F0142">
        <w:rPr>
          <w:i/>
          <w:sz w:val="22"/>
          <w:szCs w:val="22"/>
        </w:rPr>
        <w:t xml:space="preserve"> </w:t>
      </w:r>
      <w:r w:rsidR="00D3122A" w:rsidRPr="007F0142">
        <w:rPr>
          <w:sz w:val="22"/>
          <w:szCs w:val="22"/>
        </w:rPr>
        <w:t>Quoted prices</w:t>
      </w:r>
      <w:r w:rsidRPr="007F0142">
        <w:rPr>
          <w:sz w:val="22"/>
          <w:szCs w:val="22"/>
        </w:rPr>
        <w:t xml:space="preserve"> for </w:t>
      </w:r>
      <w:r w:rsidRPr="007F0142">
        <w:rPr>
          <w:sz w:val="22"/>
          <w:szCs w:val="22"/>
          <w:u w:val="single"/>
        </w:rPr>
        <w:t>identical</w:t>
      </w:r>
      <w:r w:rsidRPr="007F0142">
        <w:rPr>
          <w:sz w:val="22"/>
          <w:szCs w:val="22"/>
        </w:rPr>
        <w:t xml:space="preserve"> investments in </w:t>
      </w:r>
      <w:r w:rsidRPr="007F0142">
        <w:rPr>
          <w:sz w:val="22"/>
          <w:szCs w:val="22"/>
          <w:u w:val="single"/>
        </w:rPr>
        <w:t>active</w:t>
      </w:r>
      <w:r w:rsidRPr="007F0142">
        <w:rPr>
          <w:sz w:val="22"/>
          <w:szCs w:val="22"/>
        </w:rPr>
        <w:t xml:space="preserve"> </w:t>
      </w:r>
      <w:r w:rsidR="00D3122A" w:rsidRPr="007F0142">
        <w:rPr>
          <w:sz w:val="22"/>
          <w:szCs w:val="22"/>
        </w:rPr>
        <w:t>markets;</w:t>
      </w:r>
    </w:p>
    <w:p w:rsidR="00D3122A" w:rsidRPr="007F0142" w:rsidRDefault="00D3122A" w:rsidP="00E41494">
      <w:pPr>
        <w:pStyle w:val="ListParagraph"/>
        <w:numPr>
          <w:ilvl w:val="0"/>
          <w:numId w:val="4"/>
        </w:numPr>
        <w:rPr>
          <w:sz w:val="22"/>
          <w:szCs w:val="22"/>
        </w:rPr>
      </w:pPr>
      <w:r w:rsidRPr="007F0142">
        <w:rPr>
          <w:i/>
          <w:sz w:val="22"/>
          <w:szCs w:val="22"/>
        </w:rPr>
        <w:t>Level 2:</w:t>
      </w:r>
      <w:r w:rsidRPr="007F0142">
        <w:rPr>
          <w:sz w:val="22"/>
          <w:szCs w:val="22"/>
        </w:rPr>
        <w:t xml:space="preserve">  Observable inputs other than quoted market prices; and,</w:t>
      </w:r>
    </w:p>
    <w:p w:rsidR="00D3122A" w:rsidRPr="007F0142" w:rsidRDefault="00D3122A" w:rsidP="00E41494">
      <w:pPr>
        <w:pStyle w:val="ListParagraph"/>
        <w:numPr>
          <w:ilvl w:val="0"/>
          <w:numId w:val="4"/>
        </w:numPr>
        <w:rPr>
          <w:sz w:val="22"/>
          <w:szCs w:val="22"/>
        </w:rPr>
      </w:pPr>
      <w:r w:rsidRPr="007F0142">
        <w:rPr>
          <w:i/>
          <w:sz w:val="22"/>
          <w:szCs w:val="22"/>
        </w:rPr>
        <w:t>Level 3:</w:t>
      </w:r>
      <w:r w:rsidRPr="007F0142">
        <w:rPr>
          <w:sz w:val="22"/>
          <w:szCs w:val="22"/>
        </w:rPr>
        <w:t xml:space="preserve">  Unobservable inputs.</w:t>
      </w:r>
    </w:p>
    <w:p w:rsidR="00D3122A" w:rsidRPr="007F0142" w:rsidRDefault="00D3122A" w:rsidP="00D3122A">
      <w:pPr>
        <w:rPr>
          <w:sz w:val="22"/>
          <w:szCs w:val="22"/>
        </w:rPr>
      </w:pPr>
    </w:p>
    <w:p w:rsidR="00A84414" w:rsidRPr="007F0142" w:rsidRDefault="00A84414" w:rsidP="00D3122A">
      <w:pPr>
        <w:rPr>
          <w:sz w:val="22"/>
          <w:szCs w:val="22"/>
        </w:rPr>
      </w:pPr>
      <w:r w:rsidRPr="007F0142">
        <w:rPr>
          <w:sz w:val="22"/>
          <w:szCs w:val="22"/>
        </w:rPr>
        <w:t xml:space="preserve">At June 30, </w:t>
      </w:r>
      <w:r w:rsidRPr="007F0142">
        <w:rPr>
          <w:sz w:val="22"/>
          <w:szCs w:val="22"/>
          <w:highlight w:val="yellow"/>
        </w:rPr>
        <w:t>20xx,</w:t>
      </w:r>
      <w:r w:rsidRPr="007F0142">
        <w:rPr>
          <w:sz w:val="22"/>
          <w:szCs w:val="22"/>
        </w:rPr>
        <w:t xml:space="preserve"> the </w:t>
      </w:r>
      <w:r w:rsidRPr="007F0142">
        <w:rPr>
          <w:b/>
          <w:i/>
          <w:sz w:val="22"/>
          <w:szCs w:val="22"/>
          <w:highlight w:val="yellow"/>
        </w:rPr>
        <w:t>Entity</w:t>
      </w:r>
      <w:r w:rsidRPr="007F0142">
        <w:rPr>
          <w:sz w:val="22"/>
          <w:szCs w:val="22"/>
        </w:rPr>
        <w:t xml:space="preserve"> had the following recurring fair value measurements.</w:t>
      </w:r>
    </w:p>
    <w:p w:rsidR="00D3122A" w:rsidRPr="007F0142" w:rsidRDefault="00D3122A" w:rsidP="00D3122A">
      <w:pPr>
        <w:rPr>
          <w:sz w:val="22"/>
          <w:szCs w:val="22"/>
        </w:rPr>
      </w:pPr>
    </w:p>
    <w:p w:rsidR="000D02A3" w:rsidRPr="007F0142" w:rsidRDefault="000D02A3" w:rsidP="000D02A3">
      <w:pPr>
        <w:rPr>
          <w:sz w:val="22"/>
          <w:szCs w:val="22"/>
        </w:rPr>
      </w:pPr>
      <w:r w:rsidRPr="007F0142">
        <w:rPr>
          <w:sz w:val="22"/>
          <w:szCs w:val="22"/>
          <w:highlight w:val="yellow"/>
        </w:rPr>
        <w:t xml:space="preserve">[Modify tables located in the file </w:t>
      </w:r>
      <w:r w:rsidR="00FC0AEF">
        <w:rPr>
          <w:sz w:val="22"/>
          <w:szCs w:val="22"/>
          <w:highlight w:val="yellow"/>
        </w:rPr>
        <w:t>“</w:t>
      </w:r>
      <w:r w:rsidRPr="007F0142">
        <w:rPr>
          <w:sz w:val="22"/>
          <w:szCs w:val="22"/>
          <w:highlight w:val="yellow"/>
        </w:rPr>
        <w:t>Investment Footnote Template-Table</w:t>
      </w:r>
      <w:r w:rsidR="00FC0AEF">
        <w:rPr>
          <w:sz w:val="22"/>
          <w:szCs w:val="22"/>
          <w:highlight w:val="yellow"/>
        </w:rPr>
        <w:t>s</w:t>
      </w:r>
      <w:r w:rsidRPr="007F0142">
        <w:rPr>
          <w:sz w:val="22"/>
          <w:szCs w:val="22"/>
          <w:highlight w:val="yellow"/>
        </w:rPr>
        <w:t>.xlsx</w:t>
      </w:r>
      <w:r w:rsidR="00FC0AEF">
        <w:rPr>
          <w:sz w:val="22"/>
          <w:szCs w:val="22"/>
          <w:highlight w:val="yellow"/>
        </w:rPr>
        <w:t>”</w:t>
      </w:r>
      <w:r w:rsidRPr="007F0142">
        <w:rPr>
          <w:sz w:val="22"/>
          <w:szCs w:val="22"/>
          <w:highlight w:val="yellow"/>
        </w:rPr>
        <w:t>, then insert the table</w:t>
      </w:r>
      <w:r w:rsidR="00571CEB">
        <w:rPr>
          <w:sz w:val="22"/>
          <w:szCs w:val="22"/>
          <w:highlight w:val="yellow"/>
        </w:rPr>
        <w:t>s</w:t>
      </w:r>
      <w:r w:rsidRPr="007F0142">
        <w:rPr>
          <w:sz w:val="22"/>
          <w:szCs w:val="22"/>
          <w:highlight w:val="yellow"/>
        </w:rPr>
        <w:t xml:space="preserve"> in the </w:t>
      </w:r>
      <w:r w:rsidR="00571CEB" w:rsidRPr="007F0142">
        <w:rPr>
          <w:sz w:val="22"/>
          <w:szCs w:val="22"/>
          <w:highlight w:val="yellow"/>
        </w:rPr>
        <w:t xml:space="preserve">appropriate </w:t>
      </w:r>
      <w:r w:rsidRPr="007F0142">
        <w:rPr>
          <w:sz w:val="22"/>
          <w:szCs w:val="22"/>
          <w:highlight w:val="yellow"/>
        </w:rPr>
        <w:t>place</w:t>
      </w:r>
      <w:r w:rsidR="00571CEB">
        <w:rPr>
          <w:sz w:val="22"/>
          <w:szCs w:val="22"/>
          <w:highlight w:val="yellow"/>
        </w:rPr>
        <w:t>s</w:t>
      </w:r>
      <w:r w:rsidRPr="007F0142">
        <w:rPr>
          <w:sz w:val="22"/>
          <w:szCs w:val="22"/>
          <w:highlight w:val="yellow"/>
        </w:rPr>
        <w:t xml:space="preserve"> below as “PICTURE</w:t>
      </w:r>
      <w:r w:rsidR="00571CEB">
        <w:rPr>
          <w:sz w:val="22"/>
          <w:szCs w:val="22"/>
          <w:highlight w:val="yellow"/>
        </w:rPr>
        <w:t>S</w:t>
      </w:r>
      <w:r w:rsidRPr="007F0142">
        <w:rPr>
          <w:sz w:val="22"/>
          <w:szCs w:val="22"/>
          <w:highlight w:val="yellow"/>
        </w:rPr>
        <w:t>”.]</w:t>
      </w:r>
    </w:p>
    <w:p w:rsidR="000D02A3" w:rsidRPr="007F0142" w:rsidRDefault="000D02A3" w:rsidP="00A84414">
      <w:pPr>
        <w:rPr>
          <w:sz w:val="22"/>
          <w:szCs w:val="22"/>
        </w:rPr>
      </w:pPr>
    </w:p>
    <w:p w:rsidR="000D02A3" w:rsidRPr="007F0142" w:rsidRDefault="006777D5" w:rsidP="006777D5">
      <w:pPr>
        <w:jc w:val="center"/>
        <w:rPr>
          <w:sz w:val="22"/>
          <w:szCs w:val="22"/>
        </w:rPr>
      </w:pPr>
      <w:r w:rsidRPr="006777D5">
        <w:rPr>
          <w:noProof/>
        </w:rPr>
        <w:lastRenderedPageBreak/>
        <w:drawing>
          <wp:inline distT="0" distB="0" distL="0" distR="0">
            <wp:extent cx="5943600" cy="5384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84669"/>
                    </a:xfrm>
                    <a:prstGeom prst="rect">
                      <a:avLst/>
                    </a:prstGeom>
                    <a:noFill/>
                    <a:ln>
                      <a:noFill/>
                    </a:ln>
                  </pic:spPr>
                </pic:pic>
              </a:graphicData>
            </a:graphic>
          </wp:inline>
        </w:drawing>
      </w:r>
    </w:p>
    <w:p w:rsidR="000D02A3" w:rsidRPr="007F0142" w:rsidRDefault="000D02A3" w:rsidP="00A84414">
      <w:pPr>
        <w:rPr>
          <w:sz w:val="22"/>
          <w:szCs w:val="22"/>
        </w:rPr>
      </w:pPr>
    </w:p>
    <w:p w:rsidR="005469BC" w:rsidRPr="007F0142" w:rsidRDefault="00A84414" w:rsidP="00D62363">
      <w:pPr>
        <w:jc w:val="both"/>
        <w:rPr>
          <w:sz w:val="22"/>
          <w:szCs w:val="22"/>
        </w:rPr>
      </w:pPr>
      <w:r w:rsidRPr="007F0142">
        <w:rPr>
          <w:sz w:val="22"/>
          <w:szCs w:val="22"/>
        </w:rPr>
        <w:t xml:space="preserve">Debt and equity securities classified in Level 1 are valued using prices quoted in active markets for those securities.  Debt </w:t>
      </w:r>
      <w:r w:rsidR="002A3813" w:rsidRPr="007F0142">
        <w:rPr>
          <w:sz w:val="22"/>
          <w:szCs w:val="22"/>
        </w:rPr>
        <w:t xml:space="preserve">and equity </w:t>
      </w:r>
      <w:r w:rsidRPr="007F0142">
        <w:rPr>
          <w:sz w:val="22"/>
          <w:szCs w:val="22"/>
        </w:rPr>
        <w:t>securities</w:t>
      </w:r>
      <w:r w:rsidR="005469BC" w:rsidRPr="007F0142">
        <w:rPr>
          <w:sz w:val="22"/>
          <w:szCs w:val="22"/>
        </w:rPr>
        <w:t xml:space="preserve"> </w:t>
      </w:r>
      <w:r w:rsidRPr="007F0142">
        <w:rPr>
          <w:sz w:val="22"/>
          <w:szCs w:val="22"/>
        </w:rPr>
        <w:t>classified in Level 2 are valued</w:t>
      </w:r>
      <w:r w:rsidR="005469BC" w:rsidRPr="007F0142">
        <w:rPr>
          <w:sz w:val="22"/>
          <w:szCs w:val="22"/>
        </w:rPr>
        <w:t xml:space="preserve"> using the following approaches </w:t>
      </w:r>
      <w:r w:rsidR="005469BC" w:rsidRPr="007F0142">
        <w:rPr>
          <w:sz w:val="22"/>
          <w:szCs w:val="22"/>
          <w:highlight w:val="yellow"/>
        </w:rPr>
        <w:t>[modify as needed for your entity’s valuation methods</w:t>
      </w:r>
      <w:r w:rsidR="00D62363">
        <w:rPr>
          <w:sz w:val="22"/>
          <w:szCs w:val="22"/>
          <w:highlight w:val="yellow"/>
        </w:rPr>
        <w:t>–</w:t>
      </w:r>
      <w:r w:rsidR="005469BC" w:rsidRPr="007F0142">
        <w:rPr>
          <w:sz w:val="22"/>
          <w:szCs w:val="22"/>
          <w:highlight w:val="yellow"/>
        </w:rPr>
        <w:t>refer to Paragraphs 23-27 and 40]</w:t>
      </w:r>
      <w:r w:rsidR="005469BC" w:rsidRPr="007F0142">
        <w:rPr>
          <w:sz w:val="22"/>
          <w:szCs w:val="22"/>
        </w:rPr>
        <w:t>:</w:t>
      </w:r>
    </w:p>
    <w:p w:rsidR="005469BC" w:rsidRPr="007F0142" w:rsidRDefault="005469BC" w:rsidP="00A84414">
      <w:pPr>
        <w:rPr>
          <w:sz w:val="22"/>
          <w:szCs w:val="22"/>
        </w:rPr>
      </w:pPr>
    </w:p>
    <w:p w:rsidR="005469BC" w:rsidRPr="007F0142" w:rsidRDefault="005469BC" w:rsidP="005469BC">
      <w:pPr>
        <w:pStyle w:val="ListParagraph"/>
        <w:numPr>
          <w:ilvl w:val="0"/>
          <w:numId w:val="5"/>
        </w:numPr>
        <w:rPr>
          <w:sz w:val="22"/>
          <w:szCs w:val="22"/>
        </w:rPr>
      </w:pPr>
      <w:r w:rsidRPr="007F0142">
        <w:rPr>
          <w:sz w:val="22"/>
          <w:szCs w:val="22"/>
        </w:rPr>
        <w:t>U.S. Treasuries, U.S. Agencies, and Commercial Paper: quoted prices for identical securities in markets that are not active;</w:t>
      </w:r>
    </w:p>
    <w:p w:rsidR="005469BC" w:rsidRPr="007F0142" w:rsidRDefault="005469BC" w:rsidP="005469BC">
      <w:pPr>
        <w:pStyle w:val="ListParagraph"/>
        <w:numPr>
          <w:ilvl w:val="0"/>
          <w:numId w:val="5"/>
        </w:numPr>
        <w:rPr>
          <w:sz w:val="22"/>
          <w:szCs w:val="22"/>
        </w:rPr>
      </w:pPr>
      <w:r w:rsidRPr="007F0142">
        <w:rPr>
          <w:sz w:val="22"/>
          <w:szCs w:val="22"/>
        </w:rPr>
        <w:t>Corporate and Municipal Bonds:  quoted prices for similar securities in active markets;</w:t>
      </w:r>
    </w:p>
    <w:p w:rsidR="005469BC" w:rsidRPr="007F0142" w:rsidRDefault="005469BC" w:rsidP="005469BC">
      <w:pPr>
        <w:pStyle w:val="ListParagraph"/>
        <w:numPr>
          <w:ilvl w:val="0"/>
          <w:numId w:val="5"/>
        </w:numPr>
        <w:rPr>
          <w:sz w:val="22"/>
          <w:szCs w:val="22"/>
        </w:rPr>
      </w:pPr>
      <w:r w:rsidRPr="007F0142">
        <w:rPr>
          <w:sz w:val="22"/>
          <w:szCs w:val="22"/>
        </w:rPr>
        <w:t xml:space="preserve">Repurchase Agreements, Negotiable Certificates of Deposit, and Collateralized Debt Obligations:  </w:t>
      </w:r>
      <w:r w:rsidR="00C5773A" w:rsidRPr="007F0142">
        <w:rPr>
          <w:sz w:val="22"/>
          <w:szCs w:val="22"/>
        </w:rPr>
        <w:t>m</w:t>
      </w:r>
      <w:r w:rsidR="00A84414" w:rsidRPr="007F0142">
        <w:rPr>
          <w:sz w:val="22"/>
          <w:szCs w:val="22"/>
        </w:rPr>
        <w:t>atrix pricing based on the securities’ relationship to benchmark quoted prices</w:t>
      </w:r>
      <w:r w:rsidRPr="007F0142">
        <w:rPr>
          <w:sz w:val="22"/>
          <w:szCs w:val="22"/>
        </w:rPr>
        <w:t>;</w:t>
      </w:r>
    </w:p>
    <w:p w:rsidR="00C5773A" w:rsidRPr="007F0142" w:rsidRDefault="002A3813" w:rsidP="005469BC">
      <w:pPr>
        <w:pStyle w:val="ListParagraph"/>
        <w:numPr>
          <w:ilvl w:val="0"/>
          <w:numId w:val="5"/>
        </w:numPr>
        <w:rPr>
          <w:sz w:val="22"/>
          <w:szCs w:val="22"/>
        </w:rPr>
      </w:pPr>
      <w:r w:rsidRPr="007F0142">
        <w:rPr>
          <w:sz w:val="22"/>
          <w:szCs w:val="22"/>
        </w:rPr>
        <w:t xml:space="preserve">Money Market, </w:t>
      </w:r>
      <w:r w:rsidR="005469BC" w:rsidRPr="007F0142">
        <w:rPr>
          <w:sz w:val="22"/>
          <w:szCs w:val="22"/>
        </w:rPr>
        <w:t>Bo</w:t>
      </w:r>
      <w:r w:rsidRPr="007F0142">
        <w:rPr>
          <w:sz w:val="22"/>
          <w:szCs w:val="22"/>
        </w:rPr>
        <w:t xml:space="preserve">nd, and Equity Mutual </w:t>
      </w:r>
      <w:r w:rsidR="005469BC" w:rsidRPr="007F0142">
        <w:rPr>
          <w:sz w:val="22"/>
          <w:szCs w:val="22"/>
        </w:rPr>
        <w:t>Funds: published fair value per share (unit)</w:t>
      </w:r>
      <w:r w:rsidRPr="007F0142">
        <w:rPr>
          <w:sz w:val="22"/>
          <w:szCs w:val="22"/>
        </w:rPr>
        <w:t xml:space="preserve"> for each fund;</w:t>
      </w:r>
    </w:p>
    <w:p w:rsidR="002A3813" w:rsidRPr="007F0142" w:rsidRDefault="00C5773A" w:rsidP="005469BC">
      <w:pPr>
        <w:pStyle w:val="ListParagraph"/>
        <w:numPr>
          <w:ilvl w:val="0"/>
          <w:numId w:val="5"/>
        </w:numPr>
        <w:rPr>
          <w:sz w:val="22"/>
          <w:szCs w:val="22"/>
        </w:rPr>
      </w:pPr>
      <w:r w:rsidRPr="007F0142">
        <w:rPr>
          <w:sz w:val="22"/>
          <w:szCs w:val="22"/>
        </w:rPr>
        <w:t xml:space="preserve">Utah Public Treasurers’ Investment Fund:  application of the June 30, 20xx fair value factor, as calculated by the Utah State Treasurer, to the </w:t>
      </w:r>
      <w:r w:rsidRPr="007F0142">
        <w:rPr>
          <w:b/>
          <w:i/>
          <w:sz w:val="22"/>
          <w:szCs w:val="22"/>
          <w:highlight w:val="yellow"/>
        </w:rPr>
        <w:t>Entity’s</w:t>
      </w:r>
      <w:r w:rsidRPr="007F0142">
        <w:rPr>
          <w:sz w:val="22"/>
          <w:szCs w:val="22"/>
        </w:rPr>
        <w:t xml:space="preserve"> </w:t>
      </w:r>
      <w:r w:rsidR="00826F52" w:rsidRPr="007F0142">
        <w:rPr>
          <w:sz w:val="22"/>
          <w:szCs w:val="22"/>
        </w:rPr>
        <w:t xml:space="preserve">June 30 </w:t>
      </w:r>
      <w:r w:rsidRPr="007F0142">
        <w:rPr>
          <w:sz w:val="22"/>
          <w:szCs w:val="22"/>
        </w:rPr>
        <w:t>balance in the Fund</w:t>
      </w:r>
      <w:r w:rsidR="002A3813" w:rsidRPr="007F0142">
        <w:rPr>
          <w:sz w:val="22"/>
          <w:szCs w:val="22"/>
        </w:rPr>
        <w:t>; and,</w:t>
      </w:r>
    </w:p>
    <w:p w:rsidR="00C5773A" w:rsidRPr="007F0142" w:rsidRDefault="002A3813" w:rsidP="005469BC">
      <w:pPr>
        <w:pStyle w:val="ListParagraph"/>
        <w:numPr>
          <w:ilvl w:val="0"/>
          <w:numId w:val="5"/>
        </w:numPr>
        <w:rPr>
          <w:sz w:val="22"/>
          <w:szCs w:val="22"/>
        </w:rPr>
      </w:pPr>
      <w:r w:rsidRPr="007F0142">
        <w:rPr>
          <w:sz w:val="22"/>
          <w:szCs w:val="22"/>
        </w:rPr>
        <w:t>Donated Real Estate: recent appraisals of the real estate’s value.</w:t>
      </w:r>
      <w:r w:rsidR="00A84414" w:rsidRPr="007F0142">
        <w:rPr>
          <w:sz w:val="22"/>
          <w:szCs w:val="22"/>
        </w:rPr>
        <w:t xml:space="preserve">   </w:t>
      </w:r>
    </w:p>
    <w:p w:rsidR="00C5773A" w:rsidRPr="007F0142" w:rsidRDefault="00C5773A" w:rsidP="00C5773A">
      <w:pPr>
        <w:pStyle w:val="ListParagraph"/>
        <w:ind w:left="780"/>
        <w:rPr>
          <w:sz w:val="22"/>
          <w:szCs w:val="22"/>
        </w:rPr>
      </w:pPr>
    </w:p>
    <w:p w:rsidR="00C5773A" w:rsidRPr="007F0142" w:rsidRDefault="00C5773A" w:rsidP="00D62363">
      <w:pPr>
        <w:jc w:val="both"/>
        <w:rPr>
          <w:sz w:val="22"/>
          <w:szCs w:val="22"/>
        </w:rPr>
      </w:pPr>
      <w:r w:rsidRPr="007F0142">
        <w:rPr>
          <w:sz w:val="22"/>
          <w:szCs w:val="22"/>
        </w:rPr>
        <w:t xml:space="preserve">Debt securities, </w:t>
      </w:r>
      <w:r w:rsidRPr="007F0142">
        <w:rPr>
          <w:sz w:val="22"/>
          <w:szCs w:val="22"/>
          <w:highlight w:val="yellow"/>
        </w:rPr>
        <w:t>namely c</w:t>
      </w:r>
      <w:r w:rsidR="00A84414" w:rsidRPr="007F0142">
        <w:rPr>
          <w:sz w:val="22"/>
          <w:szCs w:val="22"/>
          <w:highlight w:val="yellow"/>
        </w:rPr>
        <w:t>ollateralized debt obligations</w:t>
      </w:r>
      <w:r w:rsidRPr="007F0142">
        <w:rPr>
          <w:sz w:val="22"/>
          <w:szCs w:val="22"/>
          <w:highlight w:val="yellow"/>
        </w:rPr>
        <w:t xml:space="preserve"> [if any],</w:t>
      </w:r>
      <w:r w:rsidR="00A84414" w:rsidRPr="007F0142">
        <w:rPr>
          <w:sz w:val="22"/>
          <w:szCs w:val="22"/>
        </w:rPr>
        <w:t xml:space="preserve"> classified in Level 3 are valued using </w:t>
      </w:r>
      <w:r w:rsidRPr="007F0142">
        <w:rPr>
          <w:sz w:val="22"/>
          <w:szCs w:val="22"/>
          <w:highlight w:val="yellow"/>
        </w:rPr>
        <w:t>[</w:t>
      </w:r>
      <w:r w:rsidR="00A84414" w:rsidRPr="007F0142">
        <w:rPr>
          <w:sz w:val="22"/>
          <w:szCs w:val="22"/>
          <w:highlight w:val="yellow"/>
        </w:rPr>
        <w:t>consensus pricing</w:t>
      </w:r>
      <w:r w:rsidRPr="007F0142">
        <w:rPr>
          <w:sz w:val="22"/>
          <w:szCs w:val="22"/>
          <w:highlight w:val="yellow"/>
        </w:rPr>
        <w:t>]</w:t>
      </w:r>
      <w:r w:rsidR="00A84414" w:rsidRPr="007F0142">
        <w:rPr>
          <w:sz w:val="22"/>
          <w:szCs w:val="22"/>
        </w:rPr>
        <w:t xml:space="preserve">.  </w:t>
      </w:r>
    </w:p>
    <w:p w:rsidR="00C5773A" w:rsidRPr="007F0142" w:rsidRDefault="00C5773A" w:rsidP="00A84414">
      <w:pPr>
        <w:rPr>
          <w:sz w:val="22"/>
          <w:szCs w:val="22"/>
        </w:rPr>
      </w:pPr>
    </w:p>
    <w:p w:rsidR="00627BD7" w:rsidRPr="007F0142" w:rsidRDefault="00C5773A" w:rsidP="006777D5">
      <w:pPr>
        <w:jc w:val="both"/>
        <w:rPr>
          <w:sz w:val="22"/>
          <w:szCs w:val="22"/>
        </w:rPr>
      </w:pPr>
      <w:r w:rsidRPr="007F0142">
        <w:rPr>
          <w:sz w:val="22"/>
          <w:szCs w:val="22"/>
        </w:rPr>
        <w:lastRenderedPageBreak/>
        <w:t xml:space="preserve">Investments valued using </w:t>
      </w:r>
      <w:r w:rsidR="00A84414" w:rsidRPr="007F0142">
        <w:rPr>
          <w:sz w:val="22"/>
          <w:szCs w:val="22"/>
        </w:rPr>
        <w:t xml:space="preserve">the net asset value (NAV) per share (or its equivalent) </w:t>
      </w:r>
      <w:r w:rsidRPr="007F0142">
        <w:rPr>
          <w:sz w:val="22"/>
          <w:szCs w:val="22"/>
        </w:rPr>
        <w:t xml:space="preserve">are considered “alternative investments” and, unlike more traditional investments, generally do not have readily obtainable market values and take the form of limited partnerships.  The </w:t>
      </w:r>
      <w:r w:rsidRPr="007F0142">
        <w:rPr>
          <w:b/>
          <w:i/>
          <w:sz w:val="22"/>
          <w:szCs w:val="22"/>
          <w:highlight w:val="yellow"/>
        </w:rPr>
        <w:t>Entity</w:t>
      </w:r>
      <w:r w:rsidRPr="007F0142">
        <w:rPr>
          <w:b/>
          <w:i/>
          <w:sz w:val="22"/>
          <w:szCs w:val="22"/>
        </w:rPr>
        <w:t xml:space="preserve"> </w:t>
      </w:r>
      <w:r w:rsidRPr="007F0142">
        <w:rPr>
          <w:sz w:val="22"/>
          <w:szCs w:val="22"/>
        </w:rPr>
        <w:t xml:space="preserve">values these investments based on the partnerships’ audited financial statements.  If June 30 statements are available, those values are used preferentially.  However, some partnerships have fiscal years ending at other than June 30.  If June 30 valuations are not available, the value is progressed from the most recently available valuation taking into account subsequent calls and distributions.  </w:t>
      </w:r>
      <w:r w:rsidR="00515B86" w:rsidRPr="007F0142">
        <w:rPr>
          <w:sz w:val="22"/>
          <w:szCs w:val="22"/>
        </w:rPr>
        <w:t xml:space="preserve">The following table presents the unfunded commitments, redemption frequency (if currently eligible), and the redemption notice period for the </w:t>
      </w:r>
      <w:r w:rsidR="00515B86" w:rsidRPr="007F0142">
        <w:rPr>
          <w:b/>
          <w:i/>
          <w:sz w:val="22"/>
          <w:szCs w:val="22"/>
          <w:highlight w:val="yellow"/>
        </w:rPr>
        <w:t>Entity’s</w:t>
      </w:r>
      <w:r w:rsidR="00515B86" w:rsidRPr="007F0142">
        <w:rPr>
          <w:b/>
          <w:i/>
          <w:sz w:val="22"/>
          <w:szCs w:val="22"/>
        </w:rPr>
        <w:t xml:space="preserve"> </w:t>
      </w:r>
      <w:r w:rsidR="00515B86" w:rsidRPr="007F0142">
        <w:rPr>
          <w:sz w:val="22"/>
          <w:szCs w:val="22"/>
        </w:rPr>
        <w:t>alternative investments measured at NAV:</w:t>
      </w:r>
    </w:p>
    <w:p w:rsidR="00627BD7" w:rsidRPr="007F0142" w:rsidRDefault="00627BD7" w:rsidP="00A84414">
      <w:pPr>
        <w:rPr>
          <w:sz w:val="22"/>
          <w:szCs w:val="22"/>
        </w:rPr>
      </w:pPr>
    </w:p>
    <w:p w:rsidR="00515B86" w:rsidRPr="007F0142" w:rsidRDefault="00EB4361" w:rsidP="00A84414">
      <w:pPr>
        <w:rPr>
          <w:sz w:val="22"/>
          <w:szCs w:val="22"/>
        </w:rPr>
      </w:pPr>
      <w:bookmarkStart w:id="1" w:name="_MON_1524035584"/>
      <w:bookmarkEnd w:id="1"/>
      <w:r w:rsidRPr="004313F9">
        <w:rPr>
          <w:noProof/>
        </w:rPr>
        <w:drawing>
          <wp:inline distT="0" distB="0" distL="0" distR="0" wp14:anchorId="2723C052" wp14:editId="2195D864">
            <wp:extent cx="5943600"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rsidR="006B4722" w:rsidRPr="007F0142" w:rsidRDefault="006B4722" w:rsidP="00A84414">
      <w:pPr>
        <w:rPr>
          <w:sz w:val="22"/>
          <w:szCs w:val="22"/>
          <w:highlight w:val="yellow"/>
        </w:rPr>
      </w:pPr>
    </w:p>
    <w:p w:rsidR="00A84414" w:rsidRPr="007F0142" w:rsidRDefault="00C5773A" w:rsidP="00FA2AD3">
      <w:pPr>
        <w:jc w:val="both"/>
        <w:rPr>
          <w:sz w:val="22"/>
          <w:szCs w:val="22"/>
        </w:rPr>
      </w:pPr>
      <w:r w:rsidRPr="007F0142">
        <w:rPr>
          <w:sz w:val="22"/>
          <w:szCs w:val="22"/>
          <w:highlight w:val="yellow"/>
        </w:rPr>
        <w:t xml:space="preserve">[Update preceding paragraph </w:t>
      </w:r>
      <w:r w:rsidR="00515B86" w:rsidRPr="007F0142">
        <w:rPr>
          <w:sz w:val="22"/>
          <w:szCs w:val="22"/>
          <w:highlight w:val="yellow"/>
        </w:rPr>
        <w:t xml:space="preserve">and table </w:t>
      </w:r>
      <w:r w:rsidRPr="007F0142">
        <w:rPr>
          <w:sz w:val="22"/>
          <w:szCs w:val="22"/>
          <w:highlight w:val="yellow"/>
        </w:rPr>
        <w:t>for your entity’s alternative investments valuation methodologies.</w:t>
      </w:r>
      <w:r w:rsidR="00040B86" w:rsidRPr="007F0142">
        <w:rPr>
          <w:sz w:val="22"/>
          <w:szCs w:val="22"/>
          <w:highlight w:val="yellow"/>
        </w:rPr>
        <w:t xml:space="preserve">  Consider adding investments NOT measured at NAV that have unfunded commitments below the “Total NAV” amount.  May consider adding descriptions of funds’ objectives.  See </w:t>
      </w:r>
      <w:r w:rsidR="00D70DB7" w:rsidRPr="007F0142">
        <w:rPr>
          <w:sz w:val="22"/>
          <w:szCs w:val="22"/>
          <w:highlight w:val="yellow"/>
        </w:rPr>
        <w:t xml:space="preserve">GASB Statement 72, </w:t>
      </w:r>
      <w:r w:rsidR="00040B86" w:rsidRPr="007F0142">
        <w:rPr>
          <w:sz w:val="22"/>
          <w:szCs w:val="22"/>
          <w:highlight w:val="yellow"/>
        </w:rPr>
        <w:t>pages 92-93 for example.</w:t>
      </w:r>
      <w:r w:rsidRPr="007F0142">
        <w:rPr>
          <w:sz w:val="22"/>
          <w:szCs w:val="22"/>
          <w:highlight w:val="yellow"/>
        </w:rPr>
        <w:t>]</w:t>
      </w:r>
    </w:p>
    <w:p w:rsidR="00C5773A" w:rsidRPr="007F0142" w:rsidRDefault="00C5773A" w:rsidP="00FA2AD3">
      <w:pPr>
        <w:jc w:val="both"/>
        <w:rPr>
          <w:sz w:val="22"/>
          <w:szCs w:val="22"/>
        </w:rPr>
      </w:pPr>
    </w:p>
    <w:p w:rsidR="002A3813" w:rsidRPr="007F0142" w:rsidRDefault="002A3813" w:rsidP="00FA2AD3">
      <w:pPr>
        <w:jc w:val="both"/>
        <w:rPr>
          <w:sz w:val="22"/>
          <w:szCs w:val="22"/>
        </w:rPr>
      </w:pPr>
      <w:r w:rsidRPr="007F0142">
        <w:rPr>
          <w:sz w:val="22"/>
          <w:szCs w:val="22"/>
          <w:highlight w:val="yellow"/>
        </w:rPr>
        <w:t>[Add additional disclosures if invested in derivatives which are hedges.  See GASB 72 for examples as needed.]</w:t>
      </w:r>
    </w:p>
    <w:p w:rsidR="00A84414" w:rsidRPr="007F0142" w:rsidRDefault="002A3813" w:rsidP="002A3813">
      <w:pPr>
        <w:rPr>
          <w:b/>
          <w:bCs/>
          <w:iCs/>
          <w:sz w:val="22"/>
          <w:szCs w:val="22"/>
        </w:rPr>
      </w:pPr>
      <w:r w:rsidRPr="007F0142">
        <w:rPr>
          <w:b/>
          <w:bCs/>
          <w:iCs/>
          <w:sz w:val="22"/>
          <w:szCs w:val="22"/>
        </w:rPr>
        <w:t xml:space="preserve"> </w:t>
      </w:r>
    </w:p>
    <w:p w:rsidR="006D0117" w:rsidRPr="007F0142" w:rsidRDefault="006D0117" w:rsidP="003C7B91">
      <w:pPr>
        <w:pStyle w:val="Heading1"/>
        <w:jc w:val="both"/>
        <w:rPr>
          <w:sz w:val="22"/>
          <w:szCs w:val="22"/>
        </w:rPr>
      </w:pPr>
      <w:r w:rsidRPr="007F0142">
        <w:rPr>
          <w:sz w:val="22"/>
          <w:szCs w:val="22"/>
        </w:rPr>
        <w:t>Interest Rate Risk</w:t>
      </w:r>
    </w:p>
    <w:p w:rsidR="006D0117" w:rsidRPr="007F0142" w:rsidRDefault="006D0117" w:rsidP="003C7B91">
      <w:pPr>
        <w:jc w:val="both"/>
        <w:rPr>
          <w:sz w:val="22"/>
          <w:szCs w:val="22"/>
        </w:rPr>
      </w:pPr>
    </w:p>
    <w:p w:rsidR="00040B86" w:rsidRPr="007F0142" w:rsidRDefault="006D0117" w:rsidP="006B4722">
      <w:pPr>
        <w:jc w:val="both"/>
        <w:rPr>
          <w:sz w:val="22"/>
          <w:szCs w:val="22"/>
        </w:rPr>
      </w:pPr>
      <w:r w:rsidRPr="007F0142">
        <w:rPr>
          <w:sz w:val="22"/>
          <w:szCs w:val="22"/>
        </w:rPr>
        <w:t xml:space="preserve">Interest rate risk is the risk that changes in interest rates will adversely affect the fair value of an investment.  The </w:t>
      </w:r>
      <w:r w:rsidRPr="007F0142">
        <w:rPr>
          <w:b/>
          <w:bCs/>
          <w:i/>
          <w:iCs/>
          <w:sz w:val="22"/>
          <w:szCs w:val="22"/>
          <w:highlight w:val="yellow"/>
        </w:rPr>
        <w:t>Entity’s</w:t>
      </w:r>
      <w:r w:rsidRPr="007F0142">
        <w:rPr>
          <w:b/>
          <w:bCs/>
          <w:i/>
          <w:iCs/>
          <w:sz w:val="22"/>
          <w:szCs w:val="22"/>
        </w:rPr>
        <w:t xml:space="preserve"> </w:t>
      </w:r>
      <w:r w:rsidRPr="007F0142">
        <w:rPr>
          <w:sz w:val="22"/>
          <w:szCs w:val="22"/>
        </w:rPr>
        <w:t xml:space="preserve">policy for managing its exposure to fair value loss arising from increasing interest rates is to comply with the </w:t>
      </w:r>
      <w:r w:rsidR="006B4722" w:rsidRPr="007F0142">
        <w:rPr>
          <w:sz w:val="22"/>
          <w:szCs w:val="22"/>
        </w:rPr>
        <w:t>Act</w:t>
      </w:r>
      <w:r w:rsidR="004164CC" w:rsidRPr="007F0142">
        <w:rPr>
          <w:sz w:val="22"/>
          <w:szCs w:val="22"/>
        </w:rPr>
        <w:t xml:space="preserve">. </w:t>
      </w:r>
      <w:r w:rsidR="00C727C6" w:rsidRPr="007F0142">
        <w:rPr>
          <w:sz w:val="22"/>
          <w:szCs w:val="22"/>
        </w:rPr>
        <w:t xml:space="preserve"> </w:t>
      </w:r>
      <w:r w:rsidRPr="007F0142">
        <w:rPr>
          <w:sz w:val="22"/>
          <w:szCs w:val="22"/>
        </w:rPr>
        <w:t xml:space="preserve">Section 51-7-11 of the Act requires that the remaining term to maturity of investments may not exceed the period of availability of the funds to be invested.  </w:t>
      </w:r>
      <w:r w:rsidR="00C727C6" w:rsidRPr="007F0142">
        <w:rPr>
          <w:sz w:val="22"/>
          <w:szCs w:val="22"/>
        </w:rPr>
        <w:t>T</w:t>
      </w:r>
      <w:r w:rsidR="00220274" w:rsidRPr="007F0142">
        <w:rPr>
          <w:sz w:val="22"/>
          <w:szCs w:val="22"/>
        </w:rPr>
        <w:t>he</w:t>
      </w:r>
      <w:r w:rsidRPr="007F0142">
        <w:rPr>
          <w:sz w:val="22"/>
          <w:szCs w:val="22"/>
        </w:rPr>
        <w:t xml:space="preserve"> Act further limits the remaining term to maturity on all investments in commercial paper, bankers’ acceptances, fixed rate negotiable deposits, </w:t>
      </w:r>
      <w:r w:rsidR="00537CFB" w:rsidRPr="007F0142">
        <w:rPr>
          <w:sz w:val="22"/>
          <w:szCs w:val="22"/>
        </w:rPr>
        <w:t xml:space="preserve">and </w:t>
      </w:r>
      <w:r w:rsidRPr="007F0142">
        <w:rPr>
          <w:sz w:val="22"/>
          <w:szCs w:val="22"/>
        </w:rPr>
        <w:t>fixed rate corporate obligations to 270</w:t>
      </w:r>
      <w:r w:rsidR="00247828" w:rsidRPr="007F0142">
        <w:rPr>
          <w:sz w:val="22"/>
          <w:szCs w:val="22"/>
        </w:rPr>
        <w:t xml:space="preserve"> days </w:t>
      </w:r>
      <w:r w:rsidR="000F7F25" w:rsidRPr="007F0142">
        <w:rPr>
          <w:sz w:val="22"/>
          <w:szCs w:val="22"/>
        </w:rPr>
        <w:t>–</w:t>
      </w:r>
      <w:r w:rsidR="00247828" w:rsidRPr="007F0142">
        <w:rPr>
          <w:sz w:val="22"/>
          <w:szCs w:val="22"/>
        </w:rPr>
        <w:t xml:space="preserve"> </w:t>
      </w:r>
      <w:r w:rsidR="006C2486" w:rsidRPr="007F0142">
        <w:rPr>
          <w:sz w:val="22"/>
          <w:szCs w:val="22"/>
        </w:rPr>
        <w:t>15</w:t>
      </w:r>
      <w:r w:rsidR="00247828" w:rsidRPr="007F0142">
        <w:rPr>
          <w:sz w:val="22"/>
          <w:szCs w:val="22"/>
        </w:rPr>
        <w:t xml:space="preserve"> months</w:t>
      </w:r>
      <w:r w:rsidRPr="007F0142">
        <w:rPr>
          <w:sz w:val="22"/>
          <w:szCs w:val="22"/>
        </w:rPr>
        <w:t xml:space="preserve"> or less.  </w:t>
      </w:r>
      <w:r w:rsidR="00867CF7" w:rsidRPr="007F0142">
        <w:rPr>
          <w:sz w:val="22"/>
          <w:szCs w:val="22"/>
        </w:rPr>
        <w:t xml:space="preserve">The Act further limits the remaining term to maturity on all investments in obligations of the United States Treasury; obligations issued by U.S. </w:t>
      </w:r>
      <w:r w:rsidR="000F7F25" w:rsidRPr="007F0142">
        <w:rPr>
          <w:sz w:val="22"/>
          <w:szCs w:val="22"/>
        </w:rPr>
        <w:t>G</w:t>
      </w:r>
      <w:r w:rsidR="00867CF7" w:rsidRPr="007F0142">
        <w:rPr>
          <w:sz w:val="22"/>
          <w:szCs w:val="22"/>
        </w:rPr>
        <w:t>overnment</w:t>
      </w:r>
      <w:r w:rsidR="000F7F25" w:rsidRPr="007F0142">
        <w:rPr>
          <w:sz w:val="22"/>
          <w:szCs w:val="22"/>
        </w:rPr>
        <w:t>-</w:t>
      </w:r>
      <w:r w:rsidR="00867CF7" w:rsidRPr="007F0142">
        <w:rPr>
          <w:sz w:val="22"/>
          <w:szCs w:val="22"/>
        </w:rPr>
        <w:t>sponsored enterprises; and bonds, notes, and other evidence of indebtedness of political subdi</w:t>
      </w:r>
      <w:r w:rsidR="00D26A06" w:rsidRPr="007F0142">
        <w:rPr>
          <w:sz w:val="22"/>
          <w:szCs w:val="22"/>
        </w:rPr>
        <w:t xml:space="preserve">visions of the State to </w:t>
      </w:r>
      <w:r w:rsidR="006B4722" w:rsidRPr="007F0142">
        <w:rPr>
          <w:sz w:val="22"/>
          <w:szCs w:val="22"/>
        </w:rPr>
        <w:t>5</w:t>
      </w:r>
      <w:r w:rsidR="00867CF7" w:rsidRPr="007F0142">
        <w:rPr>
          <w:sz w:val="22"/>
          <w:szCs w:val="22"/>
        </w:rPr>
        <w:t xml:space="preserve"> years</w:t>
      </w:r>
      <w:r w:rsidR="00D26A06" w:rsidRPr="007F0142">
        <w:rPr>
          <w:sz w:val="22"/>
          <w:szCs w:val="22"/>
        </w:rPr>
        <w:t>.</w:t>
      </w:r>
      <w:r w:rsidR="00867CF7" w:rsidRPr="007F0142">
        <w:rPr>
          <w:sz w:val="22"/>
          <w:szCs w:val="22"/>
        </w:rPr>
        <w:t xml:space="preserve">  </w:t>
      </w:r>
      <w:r w:rsidR="00537CFB" w:rsidRPr="007F0142">
        <w:rPr>
          <w:sz w:val="22"/>
          <w:szCs w:val="22"/>
        </w:rPr>
        <w:t xml:space="preserve">In addition, variable rate negotiable deposits and variable rate securities may not have a remaining term to final maturity exceeding </w:t>
      </w:r>
      <w:r w:rsidR="00830057" w:rsidRPr="007F0142">
        <w:rPr>
          <w:sz w:val="22"/>
          <w:szCs w:val="22"/>
        </w:rPr>
        <w:t>3</w:t>
      </w:r>
      <w:r w:rsidR="00537CFB" w:rsidRPr="007F0142">
        <w:rPr>
          <w:sz w:val="22"/>
          <w:szCs w:val="22"/>
        </w:rPr>
        <w:t xml:space="preserve"> years.  </w:t>
      </w:r>
    </w:p>
    <w:p w:rsidR="00461B11" w:rsidRPr="007F0142" w:rsidRDefault="00461B11" w:rsidP="003C7B91">
      <w:pPr>
        <w:jc w:val="both"/>
        <w:rPr>
          <w:sz w:val="22"/>
          <w:szCs w:val="22"/>
        </w:rPr>
      </w:pPr>
    </w:p>
    <w:p w:rsidR="00461B11" w:rsidRPr="007F0142" w:rsidRDefault="00461B11" w:rsidP="001A32E7">
      <w:pPr>
        <w:pStyle w:val="Heading1"/>
        <w:keepNext w:val="0"/>
        <w:jc w:val="both"/>
        <w:rPr>
          <w:i w:val="0"/>
          <w:iCs w:val="0"/>
          <w:sz w:val="22"/>
          <w:szCs w:val="22"/>
        </w:rPr>
      </w:pPr>
      <w:r w:rsidRPr="007F0142">
        <w:rPr>
          <w:i w:val="0"/>
          <w:iCs w:val="0"/>
          <w:sz w:val="22"/>
          <w:szCs w:val="22"/>
        </w:rPr>
        <w:t xml:space="preserve">As of </w:t>
      </w:r>
      <w:r w:rsidR="00627BD7" w:rsidRPr="007F0142">
        <w:rPr>
          <w:i w:val="0"/>
          <w:iCs w:val="0"/>
          <w:sz w:val="22"/>
          <w:szCs w:val="22"/>
        </w:rPr>
        <w:t>June 30, 20</w:t>
      </w:r>
      <w:r w:rsidR="00627BD7" w:rsidRPr="007F0142">
        <w:rPr>
          <w:i w:val="0"/>
          <w:iCs w:val="0"/>
          <w:sz w:val="22"/>
          <w:szCs w:val="22"/>
          <w:highlight w:val="yellow"/>
        </w:rPr>
        <w:t>xx</w:t>
      </w:r>
      <w:r w:rsidRPr="007F0142">
        <w:rPr>
          <w:i w:val="0"/>
          <w:iCs w:val="0"/>
          <w:sz w:val="22"/>
          <w:szCs w:val="22"/>
        </w:rPr>
        <w:t xml:space="preserve">, the </w:t>
      </w:r>
      <w:r w:rsidRPr="007F0142">
        <w:rPr>
          <w:b/>
          <w:iCs w:val="0"/>
          <w:sz w:val="22"/>
          <w:szCs w:val="22"/>
          <w:highlight w:val="yellow"/>
        </w:rPr>
        <w:t>E</w:t>
      </w:r>
      <w:r w:rsidRPr="007F0142">
        <w:rPr>
          <w:b/>
          <w:bCs/>
          <w:sz w:val="22"/>
          <w:szCs w:val="22"/>
          <w:highlight w:val="yellow"/>
        </w:rPr>
        <w:t>ntity’</w:t>
      </w:r>
      <w:r w:rsidRPr="007F0142">
        <w:rPr>
          <w:b/>
          <w:bCs/>
          <w:sz w:val="22"/>
          <w:szCs w:val="22"/>
        </w:rPr>
        <w:t xml:space="preserve">s </w:t>
      </w:r>
      <w:r w:rsidRPr="007F0142">
        <w:rPr>
          <w:bCs/>
          <w:i w:val="0"/>
          <w:sz w:val="22"/>
          <w:szCs w:val="22"/>
        </w:rPr>
        <w:t>investment</w:t>
      </w:r>
      <w:r w:rsidR="00EE0574" w:rsidRPr="007F0142">
        <w:rPr>
          <w:bCs/>
          <w:i w:val="0"/>
          <w:sz w:val="22"/>
          <w:szCs w:val="22"/>
        </w:rPr>
        <w:t>s had the following</w:t>
      </w:r>
      <w:r w:rsidRPr="007F0142">
        <w:rPr>
          <w:bCs/>
          <w:i w:val="0"/>
          <w:sz w:val="22"/>
          <w:szCs w:val="22"/>
        </w:rPr>
        <w:t xml:space="preserve"> maturities</w:t>
      </w:r>
      <w:r w:rsidRPr="007F0142">
        <w:rPr>
          <w:i w:val="0"/>
          <w:iCs w:val="0"/>
          <w:sz w:val="22"/>
          <w:szCs w:val="22"/>
        </w:rPr>
        <w:t>:</w:t>
      </w:r>
    </w:p>
    <w:p w:rsidR="001A32E7" w:rsidRPr="007F0142" w:rsidRDefault="001A32E7" w:rsidP="001A32E7">
      <w:pPr>
        <w:pStyle w:val="Heading1"/>
        <w:keepNext w:val="0"/>
        <w:jc w:val="both"/>
        <w:rPr>
          <w:sz w:val="22"/>
          <w:szCs w:val="22"/>
        </w:rPr>
      </w:pPr>
    </w:p>
    <w:p w:rsidR="001A32E7" w:rsidRPr="007F0142" w:rsidRDefault="00EB4361" w:rsidP="00F12441">
      <w:pPr>
        <w:pStyle w:val="Heading1"/>
        <w:keepNext w:val="0"/>
        <w:jc w:val="center"/>
        <w:rPr>
          <w:sz w:val="22"/>
          <w:szCs w:val="22"/>
        </w:rPr>
      </w:pPr>
      <w:r w:rsidRPr="00FF6610">
        <w:rPr>
          <w:noProof/>
        </w:rPr>
        <w:drawing>
          <wp:inline distT="0" distB="0" distL="0" distR="0" wp14:anchorId="52EC7754" wp14:editId="54AABACA">
            <wp:extent cx="5943600" cy="1330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30325"/>
                    </a:xfrm>
                    <a:prstGeom prst="rect">
                      <a:avLst/>
                    </a:prstGeom>
                    <a:noFill/>
                    <a:ln>
                      <a:noFill/>
                    </a:ln>
                  </pic:spPr>
                </pic:pic>
              </a:graphicData>
            </a:graphic>
          </wp:inline>
        </w:drawing>
      </w:r>
    </w:p>
    <w:p w:rsidR="001A32E7" w:rsidRPr="007F0142" w:rsidRDefault="001A32E7" w:rsidP="001A32E7">
      <w:pPr>
        <w:pStyle w:val="Heading1"/>
        <w:keepNext w:val="0"/>
        <w:jc w:val="both"/>
        <w:rPr>
          <w:sz w:val="22"/>
          <w:szCs w:val="22"/>
        </w:rPr>
      </w:pPr>
    </w:p>
    <w:p w:rsidR="006D0117" w:rsidRPr="007F0142" w:rsidRDefault="006D0117" w:rsidP="003C7B91">
      <w:pPr>
        <w:pStyle w:val="Heading1"/>
        <w:jc w:val="both"/>
        <w:rPr>
          <w:sz w:val="22"/>
          <w:szCs w:val="22"/>
        </w:rPr>
      </w:pPr>
      <w:r w:rsidRPr="007F0142">
        <w:rPr>
          <w:sz w:val="22"/>
          <w:szCs w:val="22"/>
        </w:rPr>
        <w:lastRenderedPageBreak/>
        <w:t>Credit Risk</w:t>
      </w:r>
    </w:p>
    <w:p w:rsidR="006D0117" w:rsidRPr="007F0142" w:rsidRDefault="006D0117" w:rsidP="003C7B91">
      <w:pPr>
        <w:jc w:val="both"/>
        <w:rPr>
          <w:sz w:val="22"/>
          <w:szCs w:val="22"/>
        </w:rPr>
      </w:pPr>
    </w:p>
    <w:p w:rsidR="00627BD7" w:rsidRPr="007F0142" w:rsidRDefault="006D0117" w:rsidP="00040B86">
      <w:pPr>
        <w:jc w:val="both"/>
        <w:rPr>
          <w:sz w:val="22"/>
          <w:szCs w:val="22"/>
        </w:rPr>
      </w:pPr>
      <w:r w:rsidRPr="007F0142">
        <w:rPr>
          <w:sz w:val="22"/>
          <w:szCs w:val="22"/>
        </w:rPr>
        <w:t xml:space="preserve">Credit risk is the risk that an issuer or other counterparty to an investment will not fulfill its obligations.  The </w:t>
      </w:r>
      <w:r w:rsidRPr="007F0142">
        <w:rPr>
          <w:b/>
          <w:bCs/>
          <w:i/>
          <w:iCs/>
          <w:sz w:val="22"/>
          <w:szCs w:val="22"/>
          <w:highlight w:val="yellow"/>
        </w:rPr>
        <w:t>Entity’s</w:t>
      </w:r>
      <w:r w:rsidRPr="007F0142">
        <w:rPr>
          <w:sz w:val="22"/>
          <w:szCs w:val="22"/>
        </w:rPr>
        <w:t xml:space="preserve"> policy for reducing its exposure to credit risk is to comply with the Act</w:t>
      </w:r>
      <w:r w:rsidR="00C727C6" w:rsidRPr="007F0142">
        <w:rPr>
          <w:sz w:val="22"/>
          <w:szCs w:val="22"/>
        </w:rPr>
        <w:t>,</w:t>
      </w:r>
      <w:r w:rsidR="009F0D91" w:rsidRPr="007F0142">
        <w:rPr>
          <w:sz w:val="22"/>
          <w:szCs w:val="22"/>
        </w:rPr>
        <w:t xml:space="preserve"> </w:t>
      </w:r>
      <w:r w:rsidRPr="007F0142">
        <w:rPr>
          <w:sz w:val="22"/>
          <w:szCs w:val="22"/>
        </w:rPr>
        <w:t>as previously discussed.</w:t>
      </w:r>
    </w:p>
    <w:p w:rsidR="00C727C6" w:rsidRPr="007F0142" w:rsidRDefault="00C727C6" w:rsidP="003C7B91">
      <w:pPr>
        <w:jc w:val="both"/>
        <w:rPr>
          <w:sz w:val="22"/>
          <w:szCs w:val="22"/>
        </w:rPr>
      </w:pPr>
    </w:p>
    <w:p w:rsidR="006D0117" w:rsidRPr="007F0142" w:rsidRDefault="006D0117" w:rsidP="003C7B91">
      <w:pPr>
        <w:jc w:val="both"/>
        <w:rPr>
          <w:sz w:val="22"/>
          <w:szCs w:val="22"/>
        </w:rPr>
      </w:pPr>
      <w:r w:rsidRPr="007F0142">
        <w:rPr>
          <w:sz w:val="22"/>
          <w:szCs w:val="22"/>
        </w:rPr>
        <w:t xml:space="preserve">At </w:t>
      </w:r>
      <w:r w:rsidR="007F2BED" w:rsidRPr="007F0142">
        <w:rPr>
          <w:sz w:val="22"/>
          <w:szCs w:val="22"/>
        </w:rPr>
        <w:t xml:space="preserve">June 30, </w:t>
      </w:r>
      <w:r w:rsidR="00A713C9" w:rsidRPr="007F0142">
        <w:rPr>
          <w:sz w:val="22"/>
          <w:szCs w:val="22"/>
          <w:highlight w:val="yellow"/>
        </w:rPr>
        <w:t>20</w:t>
      </w:r>
      <w:r w:rsidR="00627BD7" w:rsidRPr="007F0142">
        <w:rPr>
          <w:sz w:val="22"/>
          <w:szCs w:val="22"/>
          <w:highlight w:val="yellow"/>
        </w:rPr>
        <w:t>xx</w:t>
      </w:r>
      <w:r w:rsidRPr="007F0142">
        <w:rPr>
          <w:sz w:val="22"/>
          <w:szCs w:val="22"/>
        </w:rPr>
        <w:t xml:space="preserve">, the </w:t>
      </w:r>
      <w:r w:rsidRPr="007F0142">
        <w:rPr>
          <w:b/>
          <w:bCs/>
          <w:i/>
          <w:iCs/>
          <w:sz w:val="22"/>
          <w:szCs w:val="22"/>
        </w:rPr>
        <w:t>Entity</w:t>
      </w:r>
      <w:r w:rsidR="00461B11" w:rsidRPr="007F0142">
        <w:rPr>
          <w:sz w:val="22"/>
          <w:szCs w:val="22"/>
        </w:rPr>
        <w:t xml:space="preserve">’s </w:t>
      </w:r>
      <w:r w:rsidRPr="007F0142">
        <w:rPr>
          <w:sz w:val="22"/>
          <w:szCs w:val="22"/>
        </w:rPr>
        <w:t xml:space="preserve">investments </w:t>
      </w:r>
      <w:r w:rsidR="00461B11" w:rsidRPr="007F0142">
        <w:rPr>
          <w:sz w:val="22"/>
          <w:szCs w:val="22"/>
        </w:rPr>
        <w:t xml:space="preserve">had the following </w:t>
      </w:r>
      <w:r w:rsidRPr="007F0142">
        <w:rPr>
          <w:sz w:val="22"/>
          <w:szCs w:val="22"/>
        </w:rPr>
        <w:t>quality ratings:</w:t>
      </w:r>
    </w:p>
    <w:p w:rsidR="00F12441" w:rsidRPr="007F0142" w:rsidRDefault="00F12441" w:rsidP="00F12441">
      <w:pPr>
        <w:pStyle w:val="Heading1"/>
        <w:keepNext w:val="0"/>
        <w:jc w:val="both"/>
        <w:rPr>
          <w:i w:val="0"/>
          <w:sz w:val="22"/>
          <w:szCs w:val="22"/>
        </w:rPr>
      </w:pPr>
    </w:p>
    <w:p w:rsidR="00F12441" w:rsidRPr="007F0142" w:rsidRDefault="00EB4361" w:rsidP="00F12441">
      <w:pPr>
        <w:pStyle w:val="Heading1"/>
        <w:keepNext w:val="0"/>
        <w:jc w:val="center"/>
        <w:rPr>
          <w:i w:val="0"/>
          <w:sz w:val="22"/>
          <w:szCs w:val="22"/>
        </w:rPr>
      </w:pPr>
      <w:r w:rsidRPr="00EB4361">
        <w:rPr>
          <w:noProof/>
        </w:rPr>
        <w:drawing>
          <wp:inline distT="0" distB="0" distL="0" distR="0">
            <wp:extent cx="5631180" cy="134429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180" cy="1344295"/>
                    </a:xfrm>
                    <a:prstGeom prst="rect">
                      <a:avLst/>
                    </a:prstGeom>
                    <a:noFill/>
                    <a:ln>
                      <a:noFill/>
                    </a:ln>
                  </pic:spPr>
                </pic:pic>
              </a:graphicData>
            </a:graphic>
          </wp:inline>
        </w:drawing>
      </w:r>
    </w:p>
    <w:p w:rsidR="00F12441" w:rsidRPr="007F0142" w:rsidRDefault="00F12441" w:rsidP="00F12441">
      <w:pPr>
        <w:pStyle w:val="Heading1"/>
        <w:keepNext w:val="0"/>
        <w:jc w:val="both"/>
        <w:rPr>
          <w:i w:val="0"/>
          <w:sz w:val="22"/>
          <w:szCs w:val="22"/>
        </w:rPr>
      </w:pPr>
    </w:p>
    <w:p w:rsidR="006D0117" w:rsidRPr="007F0142" w:rsidRDefault="006D0117" w:rsidP="00F12441">
      <w:pPr>
        <w:pStyle w:val="Heading1"/>
        <w:keepNext w:val="0"/>
        <w:jc w:val="both"/>
        <w:rPr>
          <w:sz w:val="22"/>
          <w:szCs w:val="22"/>
        </w:rPr>
      </w:pPr>
      <w:r w:rsidRPr="007F0142">
        <w:rPr>
          <w:sz w:val="22"/>
          <w:szCs w:val="22"/>
        </w:rPr>
        <w:t>Concentration of Credit Risk</w:t>
      </w:r>
    </w:p>
    <w:p w:rsidR="006D0117" w:rsidRPr="007F0142" w:rsidRDefault="006D0117" w:rsidP="00F12441">
      <w:pPr>
        <w:pStyle w:val="Heading1"/>
        <w:keepNext w:val="0"/>
        <w:jc w:val="both"/>
        <w:rPr>
          <w:i w:val="0"/>
          <w:iCs w:val="0"/>
          <w:sz w:val="22"/>
          <w:szCs w:val="22"/>
        </w:rPr>
      </w:pPr>
    </w:p>
    <w:p w:rsidR="006D0117" w:rsidRPr="007F0142" w:rsidRDefault="006D0117" w:rsidP="00F12441">
      <w:pPr>
        <w:pStyle w:val="Heading1"/>
        <w:keepNext w:val="0"/>
        <w:jc w:val="both"/>
        <w:rPr>
          <w:i w:val="0"/>
          <w:iCs w:val="0"/>
          <w:sz w:val="22"/>
          <w:szCs w:val="22"/>
        </w:rPr>
      </w:pPr>
      <w:r w:rsidRPr="007F0142">
        <w:rPr>
          <w:i w:val="0"/>
          <w:iCs w:val="0"/>
          <w:sz w:val="22"/>
          <w:szCs w:val="22"/>
        </w:rPr>
        <w:t xml:space="preserve">Concentration of credit risk is the risk of loss attributed to the magnitude of a government’s investment in a single issuer.  The </w:t>
      </w:r>
      <w:r w:rsidRPr="007F0142">
        <w:rPr>
          <w:b/>
          <w:bCs/>
          <w:sz w:val="22"/>
          <w:szCs w:val="22"/>
          <w:highlight w:val="yellow"/>
        </w:rPr>
        <w:t>Entity’s</w:t>
      </w:r>
      <w:r w:rsidRPr="007F0142">
        <w:rPr>
          <w:b/>
          <w:bCs/>
          <w:i w:val="0"/>
          <w:iCs w:val="0"/>
          <w:sz w:val="22"/>
          <w:szCs w:val="22"/>
        </w:rPr>
        <w:t xml:space="preserve"> </w:t>
      </w:r>
      <w:r w:rsidRPr="007F0142">
        <w:rPr>
          <w:i w:val="0"/>
          <w:iCs w:val="0"/>
          <w:sz w:val="22"/>
          <w:szCs w:val="22"/>
        </w:rPr>
        <w:t xml:space="preserve">policy for reducing this risk of loss is to comply with the Rules of the Money </w:t>
      </w:r>
      <w:r w:rsidR="006B4722" w:rsidRPr="007F0142">
        <w:rPr>
          <w:i w:val="0"/>
          <w:iCs w:val="0"/>
          <w:sz w:val="22"/>
          <w:szCs w:val="22"/>
        </w:rPr>
        <w:t>Management Council</w:t>
      </w:r>
      <w:r w:rsidRPr="007F0142">
        <w:rPr>
          <w:i w:val="0"/>
          <w:iCs w:val="0"/>
          <w:sz w:val="22"/>
          <w:szCs w:val="22"/>
        </w:rPr>
        <w:t xml:space="preserve">. </w:t>
      </w:r>
      <w:r w:rsidR="00BE5FC4" w:rsidRPr="007F0142">
        <w:rPr>
          <w:i w:val="0"/>
          <w:iCs w:val="0"/>
          <w:sz w:val="22"/>
          <w:szCs w:val="22"/>
        </w:rPr>
        <w:t xml:space="preserve"> Rule 17 of the Money Management Council limits investments in a single issuer of commercial paper and corporate obligations to 5-10% depending upon the total dollar amount held in the portfolio</w:t>
      </w:r>
      <w:r w:rsidR="00FA548E" w:rsidRPr="007F0142">
        <w:rPr>
          <w:i w:val="0"/>
          <w:iCs w:val="0"/>
          <w:sz w:val="22"/>
          <w:szCs w:val="22"/>
        </w:rPr>
        <w:t xml:space="preserve"> at the time of purchase</w:t>
      </w:r>
      <w:r w:rsidR="00BE5FC4" w:rsidRPr="007F0142">
        <w:rPr>
          <w:i w:val="0"/>
          <w:iCs w:val="0"/>
          <w:sz w:val="22"/>
          <w:szCs w:val="22"/>
        </w:rPr>
        <w:t>.</w:t>
      </w:r>
      <w:r w:rsidRPr="007F0142">
        <w:rPr>
          <w:i w:val="0"/>
          <w:iCs w:val="0"/>
          <w:sz w:val="22"/>
          <w:szCs w:val="22"/>
        </w:rPr>
        <w:t xml:space="preserve"> </w:t>
      </w:r>
    </w:p>
    <w:p w:rsidR="00016556" w:rsidRPr="007F0142" w:rsidRDefault="00016556" w:rsidP="00016556">
      <w:pPr>
        <w:rPr>
          <w:sz w:val="22"/>
          <w:szCs w:val="22"/>
        </w:rPr>
      </w:pPr>
    </w:p>
    <w:p w:rsidR="00016556" w:rsidRPr="007F0142" w:rsidRDefault="006B4722" w:rsidP="00FA2AD3">
      <w:pPr>
        <w:jc w:val="both"/>
        <w:rPr>
          <w:sz w:val="22"/>
          <w:szCs w:val="22"/>
        </w:rPr>
      </w:pPr>
      <w:r w:rsidRPr="007F0142">
        <w:rPr>
          <w:sz w:val="22"/>
          <w:szCs w:val="22"/>
        </w:rPr>
        <w:t xml:space="preserve">At June 30, </w:t>
      </w:r>
      <w:r w:rsidRPr="007F0142">
        <w:rPr>
          <w:sz w:val="22"/>
          <w:szCs w:val="22"/>
          <w:highlight w:val="yellow"/>
        </w:rPr>
        <w:t>20xx</w:t>
      </w:r>
      <w:r w:rsidRPr="007F0142">
        <w:rPr>
          <w:sz w:val="22"/>
          <w:szCs w:val="22"/>
        </w:rPr>
        <w:t>, t</w:t>
      </w:r>
      <w:r w:rsidR="00016556" w:rsidRPr="007F0142">
        <w:rPr>
          <w:sz w:val="22"/>
          <w:szCs w:val="22"/>
        </w:rPr>
        <w:t>he</w:t>
      </w:r>
      <w:r w:rsidR="00D24587" w:rsidRPr="007F0142">
        <w:rPr>
          <w:sz w:val="22"/>
          <w:szCs w:val="22"/>
        </w:rPr>
        <w:t xml:space="preserve"> </w:t>
      </w:r>
      <w:r w:rsidR="003A5463" w:rsidRPr="007F0142">
        <w:rPr>
          <w:b/>
          <w:bCs/>
          <w:i/>
          <w:iCs/>
          <w:color w:val="000000"/>
          <w:sz w:val="22"/>
          <w:szCs w:val="22"/>
          <w:highlight w:val="yellow"/>
        </w:rPr>
        <w:t>Entity</w:t>
      </w:r>
      <w:r w:rsidR="00016556" w:rsidRPr="007F0142">
        <w:rPr>
          <w:sz w:val="22"/>
          <w:szCs w:val="22"/>
        </w:rPr>
        <w:t xml:space="preserve"> held more than 5 percent of total investments in securities </w:t>
      </w:r>
      <w:r w:rsidR="00122780" w:rsidRPr="007F0142">
        <w:rPr>
          <w:sz w:val="22"/>
          <w:szCs w:val="22"/>
        </w:rPr>
        <w:t xml:space="preserve">of </w:t>
      </w:r>
      <w:r w:rsidR="00122780" w:rsidRPr="007F0142">
        <w:rPr>
          <w:sz w:val="22"/>
          <w:szCs w:val="22"/>
          <w:highlight w:val="yellow"/>
        </w:rPr>
        <w:t>xxx</w:t>
      </w:r>
      <w:r w:rsidR="00016556" w:rsidRPr="007F0142">
        <w:rPr>
          <w:sz w:val="22"/>
          <w:szCs w:val="22"/>
        </w:rPr>
        <w:t xml:space="preserve"> and </w:t>
      </w:r>
      <w:r w:rsidR="00016556" w:rsidRPr="007F0142">
        <w:rPr>
          <w:sz w:val="22"/>
          <w:szCs w:val="22"/>
          <w:highlight w:val="yellow"/>
        </w:rPr>
        <w:t>xxx</w:t>
      </w:r>
      <w:r w:rsidR="00016556" w:rsidRPr="007F0142">
        <w:rPr>
          <w:sz w:val="22"/>
          <w:szCs w:val="22"/>
        </w:rPr>
        <w:t xml:space="preserve">.  These investments represent </w:t>
      </w:r>
      <w:r w:rsidR="00016556" w:rsidRPr="007F0142">
        <w:rPr>
          <w:sz w:val="22"/>
          <w:szCs w:val="22"/>
          <w:highlight w:val="yellow"/>
        </w:rPr>
        <w:t>xx</w:t>
      </w:r>
      <w:r w:rsidR="00016556" w:rsidRPr="007F0142">
        <w:rPr>
          <w:sz w:val="22"/>
          <w:szCs w:val="22"/>
        </w:rPr>
        <w:t xml:space="preserve"> percent </w:t>
      </w:r>
      <w:r w:rsidR="00016556" w:rsidRPr="007F0142">
        <w:rPr>
          <w:sz w:val="22"/>
          <w:szCs w:val="22"/>
          <w:highlight w:val="yellow"/>
        </w:rPr>
        <w:t>and xx</w:t>
      </w:r>
      <w:r w:rsidR="00016556" w:rsidRPr="007F0142">
        <w:rPr>
          <w:sz w:val="22"/>
          <w:szCs w:val="22"/>
        </w:rPr>
        <w:t xml:space="preserve"> percent, respectively, of the College’s total investments.</w:t>
      </w:r>
    </w:p>
    <w:p w:rsidR="00BE5FC4" w:rsidRPr="00EB4361" w:rsidRDefault="00BE5FC4" w:rsidP="00BE5FC4">
      <w:pPr>
        <w:rPr>
          <w:sz w:val="22"/>
          <w:szCs w:val="22"/>
        </w:rPr>
      </w:pPr>
    </w:p>
    <w:p w:rsidR="006D0117" w:rsidRPr="007F0142" w:rsidRDefault="006D0117" w:rsidP="003C7B91">
      <w:pPr>
        <w:pStyle w:val="Heading1"/>
        <w:jc w:val="both"/>
        <w:rPr>
          <w:sz w:val="22"/>
          <w:szCs w:val="22"/>
        </w:rPr>
      </w:pPr>
      <w:r w:rsidRPr="007F0142">
        <w:rPr>
          <w:sz w:val="22"/>
          <w:szCs w:val="22"/>
        </w:rPr>
        <w:t>Custodial Credit Risk</w:t>
      </w:r>
    </w:p>
    <w:p w:rsidR="006D0117" w:rsidRPr="007F0142" w:rsidRDefault="006D0117" w:rsidP="003C7B91">
      <w:pPr>
        <w:jc w:val="both"/>
        <w:rPr>
          <w:i/>
          <w:iCs/>
          <w:sz w:val="22"/>
          <w:szCs w:val="22"/>
        </w:rPr>
      </w:pPr>
    </w:p>
    <w:p w:rsidR="006D0117" w:rsidRPr="007F0142" w:rsidRDefault="006D0117" w:rsidP="003C7B91">
      <w:pPr>
        <w:jc w:val="both"/>
        <w:rPr>
          <w:sz w:val="22"/>
          <w:szCs w:val="22"/>
        </w:rPr>
      </w:pPr>
      <w:r w:rsidRPr="007F0142">
        <w:rPr>
          <w:sz w:val="22"/>
          <w:szCs w:val="22"/>
        </w:rPr>
        <w:t xml:space="preserve">For an investment, custodial credit risk is the risk that, in the event of the failure of the counterparty, the </w:t>
      </w:r>
      <w:r w:rsidRPr="007F0142">
        <w:rPr>
          <w:b/>
          <w:bCs/>
          <w:i/>
          <w:iCs/>
          <w:sz w:val="22"/>
          <w:szCs w:val="22"/>
          <w:highlight w:val="yellow"/>
        </w:rPr>
        <w:t>Entity</w:t>
      </w:r>
      <w:r w:rsidRPr="007F0142">
        <w:rPr>
          <w:b/>
          <w:bCs/>
          <w:i/>
          <w:iCs/>
          <w:sz w:val="22"/>
          <w:szCs w:val="22"/>
        </w:rPr>
        <w:t xml:space="preserve"> </w:t>
      </w:r>
      <w:r w:rsidRPr="007F0142">
        <w:rPr>
          <w:sz w:val="22"/>
          <w:szCs w:val="22"/>
        </w:rPr>
        <w:t xml:space="preserve">will not be able to recover the value of its investments or collateral securities that are in the possession of an outside party.  The </w:t>
      </w:r>
      <w:r w:rsidRPr="007F0142">
        <w:rPr>
          <w:b/>
          <w:bCs/>
          <w:i/>
          <w:iCs/>
          <w:sz w:val="22"/>
          <w:szCs w:val="22"/>
          <w:highlight w:val="yellow"/>
        </w:rPr>
        <w:t>Entity</w:t>
      </w:r>
      <w:r w:rsidRPr="007F0142">
        <w:rPr>
          <w:sz w:val="22"/>
          <w:szCs w:val="22"/>
        </w:rPr>
        <w:t xml:space="preserve"> does not have a formal policy for custodial credit risk.  As of </w:t>
      </w:r>
      <w:r w:rsidR="007F2BED" w:rsidRPr="007F0142">
        <w:rPr>
          <w:sz w:val="22"/>
          <w:szCs w:val="22"/>
        </w:rPr>
        <w:t xml:space="preserve">June 30, </w:t>
      </w:r>
      <w:r w:rsidR="00A713C9" w:rsidRPr="007F0142">
        <w:rPr>
          <w:sz w:val="22"/>
          <w:szCs w:val="22"/>
          <w:highlight w:val="yellow"/>
        </w:rPr>
        <w:t>20</w:t>
      </w:r>
      <w:r w:rsidR="00515B86" w:rsidRPr="007F0142">
        <w:rPr>
          <w:sz w:val="22"/>
          <w:szCs w:val="22"/>
          <w:highlight w:val="yellow"/>
        </w:rPr>
        <w:t>xx</w:t>
      </w:r>
      <w:r w:rsidRPr="007F0142">
        <w:rPr>
          <w:sz w:val="22"/>
          <w:szCs w:val="22"/>
        </w:rPr>
        <w:t xml:space="preserve">, the </w:t>
      </w:r>
      <w:r w:rsidRPr="007F0142">
        <w:rPr>
          <w:b/>
          <w:bCs/>
          <w:i/>
          <w:sz w:val="22"/>
          <w:szCs w:val="22"/>
          <w:highlight w:val="yellow"/>
        </w:rPr>
        <w:t>Entity</w:t>
      </w:r>
      <w:r w:rsidRPr="007F0142">
        <w:rPr>
          <w:sz w:val="22"/>
          <w:szCs w:val="22"/>
        </w:rPr>
        <w:t xml:space="preserve"> had </w:t>
      </w:r>
      <w:r w:rsidRPr="007F0142">
        <w:rPr>
          <w:b/>
          <w:sz w:val="22"/>
          <w:szCs w:val="22"/>
          <w:highlight w:val="yellow"/>
        </w:rPr>
        <w:t>$$$</w:t>
      </w:r>
      <w:r w:rsidRPr="007F0142">
        <w:rPr>
          <w:sz w:val="22"/>
          <w:szCs w:val="22"/>
          <w:highlight w:val="yellow"/>
        </w:rPr>
        <w:t xml:space="preserve"> in </w:t>
      </w:r>
      <w:r w:rsidRPr="007F0142">
        <w:rPr>
          <w:b/>
          <w:sz w:val="22"/>
          <w:szCs w:val="22"/>
          <w:highlight w:val="yellow"/>
        </w:rPr>
        <w:t>[</w:t>
      </w:r>
      <w:r w:rsidRPr="007F0142">
        <w:rPr>
          <w:b/>
          <w:bCs/>
          <w:sz w:val="22"/>
          <w:szCs w:val="22"/>
          <w:highlight w:val="yellow"/>
        </w:rPr>
        <w:t>type of investment(s)]</w:t>
      </w:r>
      <w:r w:rsidRPr="007F0142">
        <w:rPr>
          <w:b/>
          <w:bCs/>
          <w:sz w:val="22"/>
          <w:szCs w:val="22"/>
        </w:rPr>
        <w:t xml:space="preserve"> </w:t>
      </w:r>
      <w:r w:rsidRPr="007F0142">
        <w:rPr>
          <w:sz w:val="22"/>
          <w:szCs w:val="22"/>
        </w:rPr>
        <w:t xml:space="preserve">which was/were held by the investment’s counterparty </w:t>
      </w:r>
      <w:r w:rsidR="001F22B6" w:rsidRPr="007F0142">
        <w:rPr>
          <w:sz w:val="22"/>
          <w:szCs w:val="22"/>
        </w:rPr>
        <w:t xml:space="preserve">and </w:t>
      </w:r>
      <w:r w:rsidR="001F22B6" w:rsidRPr="007F0142">
        <w:rPr>
          <w:b/>
          <w:sz w:val="22"/>
          <w:szCs w:val="22"/>
          <w:highlight w:val="yellow"/>
        </w:rPr>
        <w:t>$$$</w:t>
      </w:r>
      <w:r w:rsidR="001F22B6" w:rsidRPr="007F0142">
        <w:rPr>
          <w:sz w:val="22"/>
          <w:szCs w:val="22"/>
          <w:highlight w:val="yellow"/>
        </w:rPr>
        <w:t xml:space="preserve"> in </w:t>
      </w:r>
      <w:r w:rsidR="001F22B6" w:rsidRPr="007F0142">
        <w:rPr>
          <w:b/>
          <w:sz w:val="22"/>
          <w:szCs w:val="22"/>
          <w:highlight w:val="yellow"/>
        </w:rPr>
        <w:t>[</w:t>
      </w:r>
      <w:r w:rsidR="001F22B6" w:rsidRPr="007F0142">
        <w:rPr>
          <w:b/>
          <w:bCs/>
          <w:sz w:val="22"/>
          <w:szCs w:val="22"/>
          <w:highlight w:val="yellow"/>
        </w:rPr>
        <w:t>type of investment(s)]</w:t>
      </w:r>
      <w:r w:rsidR="001F22B6" w:rsidRPr="007F0142">
        <w:rPr>
          <w:b/>
          <w:bCs/>
          <w:sz w:val="22"/>
          <w:szCs w:val="22"/>
        </w:rPr>
        <w:t xml:space="preserve"> </w:t>
      </w:r>
      <w:r w:rsidR="001F22B6" w:rsidRPr="007F0142">
        <w:rPr>
          <w:sz w:val="22"/>
          <w:szCs w:val="22"/>
        </w:rPr>
        <w:t xml:space="preserve">which was/were held by the </w:t>
      </w:r>
      <w:r w:rsidRPr="007F0142">
        <w:rPr>
          <w:sz w:val="22"/>
          <w:szCs w:val="22"/>
        </w:rPr>
        <w:t>counterparty’s trust department or agent b</w:t>
      </w:r>
      <w:r w:rsidR="001F22B6" w:rsidRPr="007F0142">
        <w:rPr>
          <w:sz w:val="22"/>
          <w:szCs w:val="22"/>
        </w:rPr>
        <w:t>ut not in the government’s name</w:t>
      </w:r>
      <w:r w:rsidRPr="007F0142">
        <w:rPr>
          <w:sz w:val="22"/>
          <w:szCs w:val="22"/>
        </w:rPr>
        <w:t xml:space="preserve">.   </w:t>
      </w:r>
    </w:p>
    <w:p w:rsidR="006D0117" w:rsidRPr="007F0142" w:rsidRDefault="006D0117" w:rsidP="003C7B91">
      <w:pPr>
        <w:jc w:val="both"/>
        <w:rPr>
          <w:sz w:val="22"/>
          <w:szCs w:val="22"/>
        </w:rPr>
      </w:pPr>
    </w:p>
    <w:p w:rsidR="006D0117" w:rsidRPr="007F0142" w:rsidRDefault="006D0117" w:rsidP="003C7B91">
      <w:pPr>
        <w:jc w:val="both"/>
        <w:rPr>
          <w:i/>
          <w:iCs/>
          <w:sz w:val="22"/>
          <w:szCs w:val="22"/>
        </w:rPr>
      </w:pPr>
      <w:r w:rsidRPr="007F0142">
        <w:rPr>
          <w:i/>
          <w:iCs/>
          <w:sz w:val="22"/>
          <w:szCs w:val="22"/>
        </w:rPr>
        <w:t>Foreign Currency Risk</w:t>
      </w:r>
    </w:p>
    <w:p w:rsidR="006D0117" w:rsidRPr="007F0142" w:rsidRDefault="006D0117" w:rsidP="003C7B91">
      <w:pPr>
        <w:jc w:val="both"/>
        <w:rPr>
          <w:b/>
          <w:bCs/>
          <w:sz w:val="22"/>
          <w:szCs w:val="22"/>
        </w:rPr>
      </w:pPr>
    </w:p>
    <w:p w:rsidR="006D0117" w:rsidRPr="007F0142" w:rsidRDefault="006D0117" w:rsidP="003C7B91">
      <w:pPr>
        <w:jc w:val="both"/>
        <w:rPr>
          <w:sz w:val="22"/>
          <w:szCs w:val="22"/>
        </w:rPr>
      </w:pPr>
      <w:r w:rsidRPr="007F0142">
        <w:rPr>
          <w:sz w:val="22"/>
          <w:szCs w:val="22"/>
        </w:rPr>
        <w:t xml:space="preserve">Foreign currency risk is the risk that changes in exchange rates will adversely affect the fair value of an investment or a deposit.  The </w:t>
      </w:r>
      <w:r w:rsidRPr="007F0142">
        <w:rPr>
          <w:b/>
          <w:bCs/>
          <w:i/>
          <w:iCs/>
          <w:sz w:val="22"/>
          <w:szCs w:val="22"/>
          <w:highlight w:val="yellow"/>
        </w:rPr>
        <w:t>Entity</w:t>
      </w:r>
      <w:r w:rsidRPr="007F0142">
        <w:rPr>
          <w:sz w:val="22"/>
          <w:szCs w:val="22"/>
        </w:rPr>
        <w:t xml:space="preserve"> does not have a formal policy for foreign currency risk.  </w:t>
      </w:r>
    </w:p>
    <w:p w:rsidR="006D0117" w:rsidRPr="007F0142" w:rsidRDefault="006D0117" w:rsidP="003C7B91">
      <w:pPr>
        <w:jc w:val="both"/>
        <w:rPr>
          <w:sz w:val="22"/>
          <w:szCs w:val="22"/>
        </w:rPr>
      </w:pPr>
    </w:p>
    <w:p w:rsidR="006D0117" w:rsidRPr="007F0142" w:rsidRDefault="009C20D5" w:rsidP="003C7B91">
      <w:pPr>
        <w:jc w:val="both"/>
        <w:rPr>
          <w:b/>
          <w:color w:val="FF0000"/>
          <w:sz w:val="22"/>
          <w:szCs w:val="22"/>
        </w:rPr>
      </w:pPr>
      <w:r w:rsidRPr="007F0142">
        <w:rPr>
          <w:b/>
          <w:bCs/>
          <w:color w:val="FF0000"/>
          <w:sz w:val="22"/>
          <w:szCs w:val="22"/>
        </w:rPr>
        <w:t>**</w:t>
      </w:r>
      <w:r w:rsidR="006D0117" w:rsidRPr="007F0142">
        <w:rPr>
          <w:b/>
          <w:bCs/>
          <w:color w:val="FF0000"/>
          <w:sz w:val="22"/>
          <w:szCs w:val="22"/>
        </w:rPr>
        <w:t>Note</w:t>
      </w:r>
      <w:r w:rsidR="006D0117" w:rsidRPr="007F0142">
        <w:rPr>
          <w:color w:val="FF0000"/>
          <w:sz w:val="22"/>
          <w:szCs w:val="22"/>
        </w:rPr>
        <w:t xml:space="preserve"> – </w:t>
      </w:r>
      <w:r w:rsidR="006D0117" w:rsidRPr="007F0142">
        <w:rPr>
          <w:b/>
          <w:bCs/>
          <w:color w:val="FF0000"/>
          <w:sz w:val="22"/>
          <w:szCs w:val="22"/>
        </w:rPr>
        <w:t>The previous paragraphs describing the policies for the various investment risks are only required when those risks are present.  (For examp</w:t>
      </w:r>
      <w:r w:rsidRPr="007F0142">
        <w:rPr>
          <w:b/>
          <w:bCs/>
          <w:color w:val="FF0000"/>
          <w:sz w:val="22"/>
          <w:szCs w:val="22"/>
        </w:rPr>
        <w:t xml:space="preserve">le, the preceding paragraph on </w:t>
      </w:r>
      <w:r w:rsidRPr="007F0142">
        <w:rPr>
          <w:b/>
          <w:bCs/>
          <w:i/>
          <w:color w:val="FF0000"/>
          <w:sz w:val="22"/>
          <w:szCs w:val="22"/>
        </w:rPr>
        <w:t>Foreign Currency R</w:t>
      </w:r>
      <w:r w:rsidR="006D0117" w:rsidRPr="007F0142">
        <w:rPr>
          <w:b/>
          <w:bCs/>
          <w:i/>
          <w:color w:val="FF0000"/>
          <w:sz w:val="22"/>
          <w:szCs w:val="22"/>
        </w:rPr>
        <w:t>isk</w:t>
      </w:r>
      <w:r w:rsidR="006D0117" w:rsidRPr="007F0142">
        <w:rPr>
          <w:b/>
          <w:bCs/>
          <w:color w:val="FF0000"/>
          <w:sz w:val="22"/>
          <w:szCs w:val="22"/>
        </w:rPr>
        <w:t xml:space="preserve"> is only needed if the entity does hold an investment denominated in a foreign currency.</w:t>
      </w:r>
      <w:r w:rsidR="006D0117" w:rsidRPr="007F0142">
        <w:rPr>
          <w:b/>
          <w:color w:val="FF0000"/>
          <w:sz w:val="22"/>
          <w:szCs w:val="22"/>
        </w:rPr>
        <w:t xml:space="preserve"> </w:t>
      </w:r>
      <w:r w:rsidRPr="007F0142">
        <w:rPr>
          <w:b/>
          <w:color w:val="FF0000"/>
          <w:sz w:val="22"/>
          <w:szCs w:val="22"/>
        </w:rPr>
        <w:t xml:space="preserve"> Also, the second paragraph under </w:t>
      </w:r>
      <w:r w:rsidRPr="007F0142">
        <w:rPr>
          <w:b/>
          <w:i/>
          <w:color w:val="FF0000"/>
          <w:sz w:val="22"/>
          <w:szCs w:val="22"/>
        </w:rPr>
        <w:t>Concentration of Credit Risk</w:t>
      </w:r>
      <w:r w:rsidRPr="007F0142">
        <w:rPr>
          <w:b/>
          <w:color w:val="FF0000"/>
          <w:sz w:val="22"/>
          <w:szCs w:val="22"/>
        </w:rPr>
        <w:t xml:space="preserve"> is only needed if the entity has this risk.) </w:t>
      </w:r>
    </w:p>
    <w:sectPr w:rsidR="006D0117" w:rsidRPr="007F0142" w:rsidSect="00997BD2">
      <w:footerReference w:type="default" r:id="rId11"/>
      <w:pgSz w:w="12240" w:h="15840"/>
      <w:pgMar w:top="1080" w:right="1440" w:bottom="108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9B" w:rsidRDefault="004C629B" w:rsidP="004C629B">
      <w:r>
        <w:separator/>
      </w:r>
    </w:p>
  </w:endnote>
  <w:endnote w:type="continuationSeparator" w:id="0">
    <w:p w:rsidR="004C629B" w:rsidRDefault="004C629B" w:rsidP="004C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D2" w:rsidRPr="00FA2AD3" w:rsidRDefault="00997BD2">
    <w:pPr>
      <w:pStyle w:val="Footer"/>
      <w:jc w:val="center"/>
      <w:rPr>
        <w:sz w:val="20"/>
        <w:szCs w:val="20"/>
      </w:rPr>
    </w:pPr>
  </w:p>
  <w:p w:rsidR="00997BD2" w:rsidRPr="00FA2AD3" w:rsidRDefault="00532F90" w:rsidP="00997BD2">
    <w:pPr>
      <w:pStyle w:val="Footer"/>
      <w:jc w:val="center"/>
      <w:rPr>
        <w:sz w:val="20"/>
        <w:szCs w:val="20"/>
      </w:rPr>
    </w:pPr>
    <w:sdt>
      <w:sdtPr>
        <w:rPr>
          <w:sz w:val="20"/>
          <w:szCs w:val="20"/>
        </w:rPr>
        <w:id w:val="-179902698"/>
        <w:docPartObj>
          <w:docPartGallery w:val="Page Numbers (Bottom of Page)"/>
          <w:docPartUnique/>
        </w:docPartObj>
      </w:sdtPr>
      <w:sdtEndPr>
        <w:rPr>
          <w:noProof/>
        </w:rPr>
      </w:sdtEndPr>
      <w:sdtContent>
        <w:r w:rsidR="00997BD2" w:rsidRPr="00FA2AD3">
          <w:rPr>
            <w:sz w:val="20"/>
            <w:szCs w:val="20"/>
          </w:rPr>
          <w:fldChar w:fldCharType="begin"/>
        </w:r>
        <w:r w:rsidR="00997BD2" w:rsidRPr="00FA2AD3">
          <w:rPr>
            <w:sz w:val="20"/>
            <w:szCs w:val="20"/>
          </w:rPr>
          <w:instrText xml:space="preserve"> PAGE   \* MERGEFORMAT </w:instrText>
        </w:r>
        <w:r w:rsidR="00997BD2" w:rsidRPr="00FA2AD3">
          <w:rPr>
            <w:sz w:val="20"/>
            <w:szCs w:val="20"/>
          </w:rPr>
          <w:fldChar w:fldCharType="separate"/>
        </w:r>
        <w:r>
          <w:rPr>
            <w:noProof/>
            <w:sz w:val="20"/>
            <w:szCs w:val="20"/>
          </w:rPr>
          <w:t>1</w:t>
        </w:r>
        <w:r w:rsidR="00997BD2" w:rsidRPr="00FA2AD3">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9B" w:rsidRDefault="004C629B" w:rsidP="004C629B">
      <w:r>
        <w:separator/>
      </w:r>
    </w:p>
  </w:footnote>
  <w:footnote w:type="continuationSeparator" w:id="0">
    <w:p w:rsidR="004C629B" w:rsidRDefault="004C629B" w:rsidP="004C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C13"/>
    <w:multiLevelType w:val="hybridMultilevel"/>
    <w:tmpl w:val="0AD014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CC944C8"/>
    <w:multiLevelType w:val="hybridMultilevel"/>
    <w:tmpl w:val="BA282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8444AE4"/>
    <w:multiLevelType w:val="hybridMultilevel"/>
    <w:tmpl w:val="C1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D0B8B"/>
    <w:multiLevelType w:val="hybridMultilevel"/>
    <w:tmpl w:val="2134363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D556943"/>
    <w:multiLevelType w:val="hybridMultilevel"/>
    <w:tmpl w:val="02FA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0A"/>
    <w:rsid w:val="00016556"/>
    <w:rsid w:val="00040B86"/>
    <w:rsid w:val="000736D4"/>
    <w:rsid w:val="00082458"/>
    <w:rsid w:val="00082962"/>
    <w:rsid w:val="000B4F75"/>
    <w:rsid w:val="000B7C13"/>
    <w:rsid w:val="000D02A3"/>
    <w:rsid w:val="000D3CB8"/>
    <w:rsid w:val="000F7F25"/>
    <w:rsid w:val="00100677"/>
    <w:rsid w:val="00107D4F"/>
    <w:rsid w:val="00116036"/>
    <w:rsid w:val="00122780"/>
    <w:rsid w:val="00130AF6"/>
    <w:rsid w:val="0014531F"/>
    <w:rsid w:val="00151FAF"/>
    <w:rsid w:val="001A32E7"/>
    <w:rsid w:val="001B03F0"/>
    <w:rsid w:val="001B2F84"/>
    <w:rsid w:val="001D33F9"/>
    <w:rsid w:val="001D7FCE"/>
    <w:rsid w:val="001F1ED0"/>
    <w:rsid w:val="001F22B6"/>
    <w:rsid w:val="001F3FE7"/>
    <w:rsid w:val="00207984"/>
    <w:rsid w:val="00207EC9"/>
    <w:rsid w:val="00220274"/>
    <w:rsid w:val="002241A2"/>
    <w:rsid w:val="002304BB"/>
    <w:rsid w:val="00242343"/>
    <w:rsid w:val="00247828"/>
    <w:rsid w:val="0026148A"/>
    <w:rsid w:val="00282BDE"/>
    <w:rsid w:val="002A00FE"/>
    <w:rsid w:val="002A1756"/>
    <w:rsid w:val="002A3813"/>
    <w:rsid w:val="002C7307"/>
    <w:rsid w:val="002D7BA9"/>
    <w:rsid w:val="002E7EE5"/>
    <w:rsid w:val="00300DAD"/>
    <w:rsid w:val="00307399"/>
    <w:rsid w:val="00333FA9"/>
    <w:rsid w:val="00347EB3"/>
    <w:rsid w:val="0035702B"/>
    <w:rsid w:val="00363C6B"/>
    <w:rsid w:val="00372E90"/>
    <w:rsid w:val="0038357C"/>
    <w:rsid w:val="003A5463"/>
    <w:rsid w:val="003C2DB6"/>
    <w:rsid w:val="003C7B91"/>
    <w:rsid w:val="004164CC"/>
    <w:rsid w:val="004313F9"/>
    <w:rsid w:val="00431F2D"/>
    <w:rsid w:val="00444808"/>
    <w:rsid w:val="004534CB"/>
    <w:rsid w:val="00461B11"/>
    <w:rsid w:val="00464F85"/>
    <w:rsid w:val="00495857"/>
    <w:rsid w:val="004A6707"/>
    <w:rsid w:val="004B35DE"/>
    <w:rsid w:val="004C29A1"/>
    <w:rsid w:val="004C2E4C"/>
    <w:rsid w:val="004C629B"/>
    <w:rsid w:val="004D6706"/>
    <w:rsid w:val="004E1138"/>
    <w:rsid w:val="004F79C5"/>
    <w:rsid w:val="00513BC2"/>
    <w:rsid w:val="00515B86"/>
    <w:rsid w:val="00527B39"/>
    <w:rsid w:val="00530476"/>
    <w:rsid w:val="00532F90"/>
    <w:rsid w:val="00537CFB"/>
    <w:rsid w:val="005469BC"/>
    <w:rsid w:val="00555FA0"/>
    <w:rsid w:val="00563159"/>
    <w:rsid w:val="00571CEB"/>
    <w:rsid w:val="00597B9E"/>
    <w:rsid w:val="005B3901"/>
    <w:rsid w:val="005B39A8"/>
    <w:rsid w:val="005F4DBE"/>
    <w:rsid w:val="005F7671"/>
    <w:rsid w:val="00627BD7"/>
    <w:rsid w:val="006366E3"/>
    <w:rsid w:val="0064011B"/>
    <w:rsid w:val="00652EC7"/>
    <w:rsid w:val="00661002"/>
    <w:rsid w:val="00663322"/>
    <w:rsid w:val="00666D79"/>
    <w:rsid w:val="00676FEB"/>
    <w:rsid w:val="006777D5"/>
    <w:rsid w:val="006B4722"/>
    <w:rsid w:val="006C2486"/>
    <w:rsid w:val="006D0117"/>
    <w:rsid w:val="006D10A8"/>
    <w:rsid w:val="006D41FD"/>
    <w:rsid w:val="006D6F27"/>
    <w:rsid w:val="006E7A1E"/>
    <w:rsid w:val="00727C86"/>
    <w:rsid w:val="00730907"/>
    <w:rsid w:val="007709F9"/>
    <w:rsid w:val="00771B50"/>
    <w:rsid w:val="00784E96"/>
    <w:rsid w:val="0079433F"/>
    <w:rsid w:val="007F0142"/>
    <w:rsid w:val="007F2BED"/>
    <w:rsid w:val="0080516D"/>
    <w:rsid w:val="00812681"/>
    <w:rsid w:val="00826F52"/>
    <w:rsid w:val="00830057"/>
    <w:rsid w:val="0085206A"/>
    <w:rsid w:val="00860E0B"/>
    <w:rsid w:val="00867CF7"/>
    <w:rsid w:val="008A2E00"/>
    <w:rsid w:val="008A3354"/>
    <w:rsid w:val="008A59E0"/>
    <w:rsid w:val="008B275D"/>
    <w:rsid w:val="0090558D"/>
    <w:rsid w:val="0091723B"/>
    <w:rsid w:val="00945426"/>
    <w:rsid w:val="00962193"/>
    <w:rsid w:val="009643C9"/>
    <w:rsid w:val="00974B92"/>
    <w:rsid w:val="00996636"/>
    <w:rsid w:val="00997BD2"/>
    <w:rsid w:val="009C20D5"/>
    <w:rsid w:val="009C5CB9"/>
    <w:rsid w:val="009E4458"/>
    <w:rsid w:val="009E5EB8"/>
    <w:rsid w:val="009F0D91"/>
    <w:rsid w:val="00A139F4"/>
    <w:rsid w:val="00A45D2C"/>
    <w:rsid w:val="00A56C66"/>
    <w:rsid w:val="00A713C9"/>
    <w:rsid w:val="00A74ADC"/>
    <w:rsid w:val="00A84414"/>
    <w:rsid w:val="00A91B7F"/>
    <w:rsid w:val="00AA1376"/>
    <w:rsid w:val="00AA69CF"/>
    <w:rsid w:val="00AC5971"/>
    <w:rsid w:val="00AE2313"/>
    <w:rsid w:val="00B156F0"/>
    <w:rsid w:val="00B91ED2"/>
    <w:rsid w:val="00B938FE"/>
    <w:rsid w:val="00BA74E9"/>
    <w:rsid w:val="00BB0BE4"/>
    <w:rsid w:val="00BD6C34"/>
    <w:rsid w:val="00BE5FC4"/>
    <w:rsid w:val="00C07993"/>
    <w:rsid w:val="00C20D3D"/>
    <w:rsid w:val="00C5773A"/>
    <w:rsid w:val="00C62BA9"/>
    <w:rsid w:val="00C6629D"/>
    <w:rsid w:val="00C727C6"/>
    <w:rsid w:val="00C96578"/>
    <w:rsid w:val="00CC469C"/>
    <w:rsid w:val="00CC596B"/>
    <w:rsid w:val="00CD70ED"/>
    <w:rsid w:val="00CF4F30"/>
    <w:rsid w:val="00D204B5"/>
    <w:rsid w:val="00D24587"/>
    <w:rsid w:val="00D26A06"/>
    <w:rsid w:val="00D3122A"/>
    <w:rsid w:val="00D333E4"/>
    <w:rsid w:val="00D55EEF"/>
    <w:rsid w:val="00D62363"/>
    <w:rsid w:val="00D70DB7"/>
    <w:rsid w:val="00D86D13"/>
    <w:rsid w:val="00DA4253"/>
    <w:rsid w:val="00DB2404"/>
    <w:rsid w:val="00DB6BC4"/>
    <w:rsid w:val="00DC6F67"/>
    <w:rsid w:val="00DE210A"/>
    <w:rsid w:val="00DF0CC3"/>
    <w:rsid w:val="00DF556D"/>
    <w:rsid w:val="00E41494"/>
    <w:rsid w:val="00E41D45"/>
    <w:rsid w:val="00E5229F"/>
    <w:rsid w:val="00E63369"/>
    <w:rsid w:val="00EA0BE8"/>
    <w:rsid w:val="00EB4361"/>
    <w:rsid w:val="00EB58B4"/>
    <w:rsid w:val="00EB7D02"/>
    <w:rsid w:val="00EC3E5F"/>
    <w:rsid w:val="00ED68B8"/>
    <w:rsid w:val="00ED6A8E"/>
    <w:rsid w:val="00EE0574"/>
    <w:rsid w:val="00EE738A"/>
    <w:rsid w:val="00EF1969"/>
    <w:rsid w:val="00F01523"/>
    <w:rsid w:val="00F05C46"/>
    <w:rsid w:val="00F12441"/>
    <w:rsid w:val="00F20CD2"/>
    <w:rsid w:val="00F43952"/>
    <w:rsid w:val="00F47CB8"/>
    <w:rsid w:val="00F5224E"/>
    <w:rsid w:val="00F55006"/>
    <w:rsid w:val="00F601BD"/>
    <w:rsid w:val="00F64A62"/>
    <w:rsid w:val="00FA2AD3"/>
    <w:rsid w:val="00FA341F"/>
    <w:rsid w:val="00FA5031"/>
    <w:rsid w:val="00FA548E"/>
    <w:rsid w:val="00FA6303"/>
    <w:rsid w:val="00FC0AEF"/>
    <w:rsid w:val="00FD76EA"/>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45A1640-CCFD-4EB3-95A3-5CF31BC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0B"/>
    <w:rPr>
      <w:sz w:val="24"/>
      <w:szCs w:val="24"/>
    </w:rPr>
  </w:style>
  <w:style w:type="paragraph" w:styleId="Heading1">
    <w:name w:val="heading 1"/>
    <w:basedOn w:val="Normal"/>
    <w:next w:val="Normal"/>
    <w:qFormat/>
    <w:rsid w:val="00860E0B"/>
    <w:pPr>
      <w:keepNext/>
      <w:outlineLvl w:val="0"/>
    </w:pPr>
    <w:rPr>
      <w:i/>
      <w:iCs/>
    </w:rPr>
  </w:style>
  <w:style w:type="paragraph" w:styleId="Heading2">
    <w:name w:val="heading 2"/>
    <w:basedOn w:val="Normal"/>
    <w:next w:val="Normal"/>
    <w:qFormat/>
    <w:rsid w:val="00860E0B"/>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0E0B"/>
    <w:pPr>
      <w:tabs>
        <w:tab w:val="left" w:pos="-1181"/>
        <w:tab w:val="left" w:pos="540"/>
        <w:tab w:val="left" w:pos="990"/>
        <w:tab w:val="left" w:pos="2160"/>
        <w:tab w:val="left" w:pos="5040"/>
      </w:tabs>
      <w:ind w:left="540"/>
      <w:jc w:val="both"/>
    </w:pPr>
    <w:rPr>
      <w:color w:val="000000"/>
    </w:rPr>
  </w:style>
  <w:style w:type="paragraph" w:styleId="BalloonText">
    <w:name w:val="Balloon Text"/>
    <w:basedOn w:val="Normal"/>
    <w:semiHidden/>
    <w:rsid w:val="00AE2313"/>
    <w:rPr>
      <w:rFonts w:ascii="Tahoma" w:hAnsi="Tahoma" w:cs="Tahoma"/>
      <w:sz w:val="16"/>
      <w:szCs w:val="16"/>
    </w:rPr>
  </w:style>
  <w:style w:type="paragraph" w:styleId="ListParagraph">
    <w:name w:val="List Paragraph"/>
    <w:basedOn w:val="Normal"/>
    <w:uiPriority w:val="34"/>
    <w:qFormat/>
    <w:rsid w:val="00E41494"/>
    <w:pPr>
      <w:ind w:left="720"/>
      <w:contextualSpacing/>
    </w:pPr>
  </w:style>
  <w:style w:type="character" w:styleId="Hyperlink">
    <w:name w:val="Hyperlink"/>
    <w:basedOn w:val="DefaultParagraphFont"/>
    <w:uiPriority w:val="99"/>
    <w:unhideWhenUsed/>
    <w:rsid w:val="002A1756"/>
    <w:rPr>
      <w:color w:val="0000FF" w:themeColor="hyperlink"/>
      <w:u w:val="single"/>
    </w:rPr>
  </w:style>
  <w:style w:type="paragraph" w:styleId="Header">
    <w:name w:val="header"/>
    <w:basedOn w:val="Normal"/>
    <w:link w:val="HeaderChar"/>
    <w:uiPriority w:val="99"/>
    <w:unhideWhenUsed/>
    <w:rsid w:val="004C629B"/>
    <w:pPr>
      <w:tabs>
        <w:tab w:val="center" w:pos="4680"/>
        <w:tab w:val="right" w:pos="9360"/>
      </w:tabs>
    </w:pPr>
  </w:style>
  <w:style w:type="character" w:customStyle="1" w:styleId="HeaderChar">
    <w:name w:val="Header Char"/>
    <w:basedOn w:val="DefaultParagraphFont"/>
    <w:link w:val="Header"/>
    <w:uiPriority w:val="99"/>
    <w:rsid w:val="004C629B"/>
    <w:rPr>
      <w:sz w:val="24"/>
      <w:szCs w:val="24"/>
    </w:rPr>
  </w:style>
  <w:style w:type="paragraph" w:styleId="Footer">
    <w:name w:val="footer"/>
    <w:basedOn w:val="Normal"/>
    <w:link w:val="FooterChar"/>
    <w:uiPriority w:val="99"/>
    <w:unhideWhenUsed/>
    <w:rsid w:val="004C629B"/>
    <w:pPr>
      <w:tabs>
        <w:tab w:val="center" w:pos="4680"/>
        <w:tab w:val="right" w:pos="9360"/>
      </w:tabs>
    </w:pPr>
  </w:style>
  <w:style w:type="character" w:customStyle="1" w:styleId="FooterChar">
    <w:name w:val="Footer Char"/>
    <w:basedOn w:val="DefaultParagraphFont"/>
    <w:link w:val="Footer"/>
    <w:uiPriority w:val="99"/>
    <w:rsid w:val="004C6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2997">
      <w:bodyDiv w:val="1"/>
      <w:marLeft w:val="0"/>
      <w:marRight w:val="0"/>
      <w:marTop w:val="0"/>
      <w:marBottom w:val="0"/>
      <w:divBdr>
        <w:top w:val="none" w:sz="0" w:space="0" w:color="auto"/>
        <w:left w:val="none" w:sz="0" w:space="0" w:color="auto"/>
        <w:bottom w:val="none" w:sz="0" w:space="0" w:color="auto"/>
        <w:right w:val="none" w:sz="0" w:space="0" w:color="auto"/>
      </w:divBdr>
    </w:div>
    <w:div w:id="11368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Custodial Credit Risk – Deposits</vt:lpstr>
    </vt:vector>
  </TitlesOfParts>
  <Company>Utah State Auditor's Office</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Credit Risk – Deposits</dc:title>
  <dc:creator>jroth</dc:creator>
  <cp:lastModifiedBy>Linda Siebenhaar</cp:lastModifiedBy>
  <cp:revision>38</cp:revision>
  <cp:lastPrinted>2016-05-06T16:41:00Z</cp:lastPrinted>
  <dcterms:created xsi:type="dcterms:W3CDTF">2016-05-06T16:58:00Z</dcterms:created>
  <dcterms:modified xsi:type="dcterms:W3CDTF">2018-07-19T17:29:00Z</dcterms:modified>
</cp:coreProperties>
</file>