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21" w:rsidRDefault="000B7021" w:rsidP="000B7021">
      <w:pPr>
        <w:spacing w:before="100" w:beforeAutospacing="1" w:after="100" w:afterAutospacing="1" w:line="240" w:lineRule="auto"/>
        <w:ind w:right="-90"/>
        <w:jc w:val="center"/>
        <w:outlineLvl w:val="0"/>
        <w:rPr>
          <w:rFonts w:eastAsia="Times New Roman" w:cs="Times New Roman"/>
          <w:b/>
          <w:bCs/>
          <w:kern w:val="36"/>
          <w:sz w:val="32"/>
          <w:szCs w:val="32"/>
        </w:rPr>
      </w:pPr>
      <w:r>
        <w:rPr>
          <w:rFonts w:eastAsia="Times New Roman" w:cs="Times New Roman"/>
          <w:b/>
          <w:bCs/>
          <w:kern w:val="36"/>
          <w:sz w:val="32"/>
          <w:szCs w:val="32"/>
        </w:rPr>
        <w:t xml:space="preserve">Critical Infrastructure </w:t>
      </w:r>
      <w:r w:rsidR="009D6E87">
        <w:rPr>
          <w:rFonts w:eastAsia="Times New Roman" w:cs="Times New Roman"/>
          <w:b/>
          <w:bCs/>
          <w:kern w:val="36"/>
          <w:sz w:val="32"/>
          <w:szCs w:val="32"/>
        </w:rPr>
        <w:t>Secu</w:t>
      </w:r>
      <w:bookmarkStart w:id="0" w:name="_GoBack"/>
      <w:bookmarkEnd w:id="0"/>
      <w:r w:rsidR="009D6E87">
        <w:rPr>
          <w:rFonts w:eastAsia="Times New Roman" w:cs="Times New Roman"/>
          <w:b/>
          <w:bCs/>
          <w:kern w:val="36"/>
          <w:sz w:val="32"/>
          <w:szCs w:val="32"/>
        </w:rPr>
        <w:t>rity &amp;</w:t>
      </w:r>
      <w:r w:rsidRPr="000B7021">
        <w:rPr>
          <w:rFonts w:eastAsia="Times New Roman" w:cs="Times New Roman"/>
          <w:b/>
          <w:bCs/>
          <w:kern w:val="36"/>
          <w:sz w:val="32"/>
          <w:szCs w:val="32"/>
        </w:rPr>
        <w:t xml:space="preserve"> </w:t>
      </w:r>
      <w:r w:rsidR="009D6E87">
        <w:rPr>
          <w:rFonts w:eastAsia="Times New Roman" w:cs="Times New Roman"/>
          <w:b/>
          <w:bCs/>
          <w:kern w:val="36"/>
          <w:sz w:val="32"/>
          <w:szCs w:val="32"/>
        </w:rPr>
        <w:t xml:space="preserve">Resilience </w:t>
      </w:r>
      <w:r w:rsidRPr="000B7021">
        <w:rPr>
          <w:rFonts w:eastAsia="Times New Roman" w:cs="Times New Roman"/>
          <w:b/>
          <w:bCs/>
          <w:kern w:val="36"/>
          <w:sz w:val="32"/>
          <w:szCs w:val="32"/>
        </w:rPr>
        <w:t xml:space="preserve">Awareness </w:t>
      </w:r>
      <w:r>
        <w:rPr>
          <w:rFonts w:eastAsia="Times New Roman" w:cs="Times New Roman"/>
          <w:b/>
          <w:bCs/>
          <w:kern w:val="36"/>
          <w:sz w:val="32"/>
          <w:szCs w:val="32"/>
        </w:rPr>
        <w:t>(AWR213)</w:t>
      </w:r>
    </w:p>
    <w:p w:rsidR="000B7021" w:rsidRDefault="000B7021" w:rsidP="000B7021">
      <w:pPr>
        <w:pStyle w:val="NormalWeb"/>
      </w:pPr>
      <w:r>
        <w:t>This course will introduce participants to the key terms, policy, guidance, and preparedness efforts required to safeguard the Nation's critical infrastructure. Participants will review applicable policy and guidance, discuss the risk management framework, describe Federal critical infrastructure security and resilience and information sharing programs, and relate critical infrastructure programs to individual actions.</w:t>
      </w:r>
    </w:p>
    <w:p w:rsidR="000B7021" w:rsidRDefault="000B7021" w:rsidP="000B7021">
      <w:pPr>
        <w:pStyle w:val="NormalWeb"/>
      </w:pPr>
      <w:r>
        <w:t>Primary focus will be placed on local preparedness efforts as they relate to the national approach to critical infrastructure security and resilience. An understanding of the national approach to critical infrastructure enables critical infrastructure stakeholders to address local planning within a common framework. Informed planning is consistent with and expands on nationally accepted emergency management standards as the basis for planning across the mission areas of prevention, protection, mitigation, response, and recovery.</w:t>
      </w:r>
    </w:p>
    <w:p w:rsidR="000B7021" w:rsidRPr="000B7021" w:rsidRDefault="000B7021" w:rsidP="000B7021">
      <w:pPr>
        <w:pStyle w:val="Heading2"/>
        <w:rPr>
          <w:rFonts w:ascii="Times New Roman" w:hAnsi="Times New Roman" w:cs="Times New Roman"/>
          <w:color w:val="auto"/>
          <w:sz w:val="24"/>
          <w:szCs w:val="24"/>
        </w:rPr>
      </w:pPr>
      <w:r w:rsidRPr="000B7021">
        <w:rPr>
          <w:rFonts w:ascii="Times New Roman" w:hAnsi="Times New Roman" w:cs="Times New Roman"/>
          <w:color w:val="auto"/>
          <w:sz w:val="24"/>
          <w:szCs w:val="24"/>
        </w:rPr>
        <w:t>Prerequisite</w:t>
      </w:r>
    </w:p>
    <w:p w:rsidR="000B7021" w:rsidRPr="000B7021" w:rsidRDefault="000B7021" w:rsidP="000B7021">
      <w:pPr>
        <w:rPr>
          <w:rFonts w:cs="Times New Roman"/>
          <w:szCs w:val="24"/>
        </w:rPr>
      </w:pPr>
      <w:r w:rsidRPr="000B7021">
        <w:rPr>
          <w:rFonts w:cs="Times New Roman"/>
          <w:szCs w:val="24"/>
        </w:rPr>
        <w:t xml:space="preserve">There are no prerequisites for this course. </w:t>
      </w:r>
    </w:p>
    <w:p w:rsidR="000B7021" w:rsidRPr="000B7021" w:rsidRDefault="000B7021" w:rsidP="000B7021">
      <w:pPr>
        <w:pStyle w:val="Heading2"/>
        <w:rPr>
          <w:rFonts w:ascii="Times New Roman" w:hAnsi="Times New Roman" w:cs="Times New Roman"/>
          <w:color w:val="auto"/>
          <w:sz w:val="24"/>
          <w:szCs w:val="24"/>
        </w:rPr>
      </w:pPr>
      <w:r w:rsidRPr="000B7021">
        <w:rPr>
          <w:rFonts w:ascii="Times New Roman" w:hAnsi="Times New Roman" w:cs="Times New Roman"/>
          <w:color w:val="auto"/>
          <w:sz w:val="24"/>
          <w:szCs w:val="24"/>
        </w:rPr>
        <w:t>Recommended</w:t>
      </w:r>
    </w:p>
    <w:p w:rsidR="000B7021" w:rsidRPr="000B7021" w:rsidRDefault="000B7021" w:rsidP="000B7021">
      <w:pPr>
        <w:numPr>
          <w:ilvl w:val="0"/>
          <w:numId w:val="1"/>
        </w:numPr>
        <w:spacing w:before="100" w:beforeAutospacing="1" w:after="100" w:afterAutospacing="1" w:line="240" w:lineRule="auto"/>
        <w:rPr>
          <w:rFonts w:cs="Times New Roman"/>
          <w:szCs w:val="24"/>
        </w:rPr>
      </w:pPr>
      <w:r w:rsidRPr="000B7021">
        <w:rPr>
          <w:rFonts w:cs="Times New Roman"/>
          <w:szCs w:val="24"/>
        </w:rPr>
        <w:t>IS-100.B: Introduction to the Incident Command System</w:t>
      </w:r>
    </w:p>
    <w:p w:rsidR="000B7021" w:rsidRPr="000B7021" w:rsidRDefault="000B7021" w:rsidP="000B7021">
      <w:pPr>
        <w:numPr>
          <w:ilvl w:val="0"/>
          <w:numId w:val="1"/>
        </w:numPr>
        <w:spacing w:before="100" w:beforeAutospacing="1" w:after="100" w:afterAutospacing="1" w:line="240" w:lineRule="auto"/>
        <w:rPr>
          <w:rFonts w:cs="Times New Roman"/>
          <w:szCs w:val="24"/>
        </w:rPr>
      </w:pPr>
      <w:r w:rsidRPr="000B7021">
        <w:rPr>
          <w:rFonts w:cs="Times New Roman"/>
          <w:szCs w:val="24"/>
        </w:rPr>
        <w:t>IS-700.A: National Incident Management System (NIMS) An Introduction</w:t>
      </w:r>
    </w:p>
    <w:p w:rsidR="000B7021" w:rsidRPr="000B7021" w:rsidRDefault="009D6E87" w:rsidP="000B7021">
      <w:pPr>
        <w:numPr>
          <w:ilvl w:val="0"/>
          <w:numId w:val="1"/>
        </w:numPr>
        <w:spacing w:before="100" w:beforeAutospacing="1" w:after="100" w:afterAutospacing="1" w:line="240" w:lineRule="auto"/>
        <w:rPr>
          <w:rFonts w:cs="Times New Roman"/>
          <w:szCs w:val="24"/>
        </w:rPr>
      </w:pPr>
      <w:hyperlink r:id="rId6" w:tgtFrame="_blank" w:history="1">
        <w:r w:rsidR="000B7021" w:rsidRPr="000B7021">
          <w:rPr>
            <w:rStyle w:val="Hyperlink"/>
            <w:rFonts w:cs="Times New Roman"/>
            <w:color w:val="auto"/>
            <w:szCs w:val="24"/>
          </w:rPr>
          <w:t>AWR-160: WMD/Terrorism Awareness for Emergency Responders</w:t>
        </w:r>
      </w:hyperlink>
    </w:p>
    <w:p w:rsidR="000B7021" w:rsidRPr="000B7021" w:rsidRDefault="000B7021" w:rsidP="000B7021">
      <w:pPr>
        <w:pStyle w:val="Heading2"/>
        <w:rPr>
          <w:rFonts w:ascii="Times New Roman" w:hAnsi="Times New Roman" w:cs="Times New Roman"/>
          <w:color w:val="auto"/>
          <w:sz w:val="24"/>
          <w:szCs w:val="24"/>
        </w:rPr>
      </w:pPr>
      <w:r w:rsidRPr="000B7021">
        <w:rPr>
          <w:rFonts w:ascii="Times New Roman" w:hAnsi="Times New Roman" w:cs="Times New Roman"/>
          <w:color w:val="auto"/>
          <w:sz w:val="24"/>
          <w:szCs w:val="24"/>
        </w:rPr>
        <w:t>Topics</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The Critical Infrastructure Challenge</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Federal Policy and Guidance</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Risk Management</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Roles and Responsibilities of Critical Infrastructure Partners</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Information Sharing Programs</w:t>
      </w:r>
    </w:p>
    <w:p w:rsidR="000B7021" w:rsidRPr="000B7021" w:rsidRDefault="000B7021" w:rsidP="000B7021">
      <w:pPr>
        <w:numPr>
          <w:ilvl w:val="0"/>
          <w:numId w:val="2"/>
        </w:numPr>
        <w:spacing w:before="100" w:beforeAutospacing="1" w:after="100" w:afterAutospacing="1" w:line="240" w:lineRule="auto"/>
        <w:rPr>
          <w:rFonts w:cs="Times New Roman"/>
          <w:szCs w:val="24"/>
        </w:rPr>
      </w:pPr>
      <w:r w:rsidRPr="000B7021">
        <w:rPr>
          <w:rFonts w:cs="Times New Roman"/>
          <w:szCs w:val="24"/>
        </w:rPr>
        <w:t>Individual Actions</w:t>
      </w:r>
    </w:p>
    <w:p w:rsidR="000B7021" w:rsidRPr="000B7021" w:rsidRDefault="000B7021" w:rsidP="000B7021">
      <w:pPr>
        <w:pStyle w:val="Heading2"/>
        <w:rPr>
          <w:rFonts w:ascii="Times New Roman" w:hAnsi="Times New Roman" w:cs="Times New Roman"/>
          <w:color w:val="auto"/>
          <w:sz w:val="24"/>
          <w:szCs w:val="24"/>
        </w:rPr>
      </w:pPr>
      <w:r w:rsidRPr="000B7021">
        <w:rPr>
          <w:rFonts w:ascii="Times New Roman" w:hAnsi="Times New Roman" w:cs="Times New Roman"/>
          <w:color w:val="auto"/>
          <w:sz w:val="24"/>
          <w:szCs w:val="24"/>
        </w:rPr>
        <w:t>Audience</w:t>
      </w:r>
    </w:p>
    <w:p w:rsidR="000B7021" w:rsidRPr="000B7021" w:rsidRDefault="000B7021" w:rsidP="000B7021">
      <w:pPr>
        <w:numPr>
          <w:ilvl w:val="0"/>
          <w:numId w:val="3"/>
        </w:numPr>
        <w:spacing w:before="100" w:beforeAutospacing="1" w:after="100" w:afterAutospacing="1" w:line="240" w:lineRule="auto"/>
        <w:rPr>
          <w:rFonts w:cs="Times New Roman"/>
          <w:szCs w:val="24"/>
        </w:rPr>
      </w:pPr>
      <w:r w:rsidRPr="000B7021">
        <w:rPr>
          <w:rFonts w:cs="Times New Roman"/>
          <w:szCs w:val="24"/>
        </w:rPr>
        <w:t>Critical infrastructure owners, operators, and managers</w:t>
      </w:r>
    </w:p>
    <w:p w:rsidR="000B7021" w:rsidRPr="000B7021" w:rsidRDefault="000B7021" w:rsidP="000B7021">
      <w:pPr>
        <w:numPr>
          <w:ilvl w:val="0"/>
          <w:numId w:val="3"/>
        </w:numPr>
        <w:spacing w:before="100" w:beforeAutospacing="1" w:after="100" w:afterAutospacing="1" w:line="240" w:lineRule="auto"/>
        <w:rPr>
          <w:rFonts w:cs="Times New Roman"/>
          <w:szCs w:val="24"/>
        </w:rPr>
      </w:pPr>
      <w:r w:rsidRPr="000B7021">
        <w:rPr>
          <w:rFonts w:cs="Times New Roman"/>
          <w:szCs w:val="24"/>
        </w:rPr>
        <w:t>Federal, State, local, regional, tribal, and territorial government officials and managers</w:t>
      </w:r>
    </w:p>
    <w:p w:rsidR="000B7021" w:rsidRPr="000B7021" w:rsidRDefault="000B7021" w:rsidP="000B7021">
      <w:pPr>
        <w:numPr>
          <w:ilvl w:val="0"/>
          <w:numId w:val="3"/>
        </w:numPr>
        <w:spacing w:before="100" w:beforeAutospacing="1" w:after="100" w:afterAutospacing="1" w:line="240" w:lineRule="auto"/>
        <w:rPr>
          <w:rFonts w:cs="Times New Roman"/>
          <w:szCs w:val="24"/>
        </w:rPr>
      </w:pPr>
      <w:r w:rsidRPr="000B7021">
        <w:rPr>
          <w:rFonts w:cs="Times New Roman"/>
          <w:szCs w:val="24"/>
        </w:rPr>
        <w:t>Sector-Specific Agency managers</w:t>
      </w:r>
    </w:p>
    <w:p w:rsidR="000B7021" w:rsidRPr="000B7021" w:rsidRDefault="000B7021" w:rsidP="000B7021">
      <w:pPr>
        <w:numPr>
          <w:ilvl w:val="0"/>
          <w:numId w:val="3"/>
        </w:numPr>
        <w:spacing w:before="100" w:beforeAutospacing="1" w:after="100" w:afterAutospacing="1" w:line="240" w:lineRule="auto"/>
        <w:rPr>
          <w:rFonts w:cs="Times New Roman"/>
          <w:szCs w:val="24"/>
        </w:rPr>
      </w:pPr>
      <w:r w:rsidRPr="000B7021">
        <w:rPr>
          <w:rFonts w:cs="Times New Roman"/>
          <w:szCs w:val="24"/>
        </w:rPr>
        <w:t>Other organizations and managers with critical infrastructure responsibilities</w:t>
      </w:r>
    </w:p>
    <w:p w:rsidR="000B7021" w:rsidRPr="000B7021" w:rsidRDefault="000B7021" w:rsidP="000B7021">
      <w:pPr>
        <w:pStyle w:val="Heading2"/>
        <w:rPr>
          <w:rFonts w:ascii="Times New Roman" w:hAnsi="Times New Roman" w:cs="Times New Roman"/>
          <w:color w:val="auto"/>
          <w:sz w:val="24"/>
          <w:szCs w:val="24"/>
        </w:rPr>
      </w:pPr>
      <w:r w:rsidRPr="000B7021">
        <w:rPr>
          <w:rFonts w:ascii="Times New Roman" w:hAnsi="Times New Roman" w:cs="Times New Roman"/>
          <w:color w:val="auto"/>
          <w:sz w:val="24"/>
          <w:szCs w:val="24"/>
        </w:rPr>
        <w:t>Education Credits</w:t>
      </w:r>
    </w:p>
    <w:p w:rsidR="000B7021" w:rsidRPr="000B7021" w:rsidRDefault="000B7021" w:rsidP="000B7021">
      <w:pPr>
        <w:numPr>
          <w:ilvl w:val="0"/>
          <w:numId w:val="5"/>
        </w:numPr>
        <w:spacing w:before="100" w:beforeAutospacing="1" w:after="100" w:afterAutospacing="1" w:line="240" w:lineRule="auto"/>
        <w:ind w:right="-90"/>
        <w:outlineLvl w:val="0"/>
        <w:rPr>
          <w:rFonts w:eastAsia="Times New Roman" w:cs="Times New Roman"/>
          <w:b/>
          <w:bCs/>
          <w:kern w:val="36"/>
          <w:szCs w:val="24"/>
        </w:rPr>
      </w:pPr>
      <w:r w:rsidRPr="000B7021">
        <w:rPr>
          <w:rFonts w:cs="Times New Roman"/>
          <w:szCs w:val="24"/>
        </w:rPr>
        <w:t>0.80 CEUs</w:t>
      </w:r>
    </w:p>
    <w:p w:rsidR="00E40971" w:rsidRDefault="009D6E87"/>
    <w:sectPr w:rsidR="00E4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9F6"/>
    <w:multiLevelType w:val="multilevel"/>
    <w:tmpl w:val="6A3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A16E4"/>
    <w:multiLevelType w:val="multilevel"/>
    <w:tmpl w:val="BEE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60053"/>
    <w:multiLevelType w:val="multilevel"/>
    <w:tmpl w:val="1A6E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84D39"/>
    <w:multiLevelType w:val="multilevel"/>
    <w:tmpl w:val="76C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D4E3D"/>
    <w:multiLevelType w:val="multilevel"/>
    <w:tmpl w:val="9C9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21"/>
    <w:rsid w:val="00021C9D"/>
    <w:rsid w:val="000B7021"/>
    <w:rsid w:val="001F09E3"/>
    <w:rsid w:val="00395641"/>
    <w:rsid w:val="009D6E87"/>
    <w:rsid w:val="00B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02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B7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21"/>
    <w:rPr>
      <w:rFonts w:eastAsia="Times New Roman" w:cs="Times New Roman"/>
      <w:b/>
      <w:bCs/>
      <w:kern w:val="36"/>
      <w:sz w:val="48"/>
      <w:szCs w:val="48"/>
    </w:rPr>
  </w:style>
  <w:style w:type="paragraph" w:styleId="NormalWeb">
    <w:name w:val="Normal (Web)"/>
    <w:basedOn w:val="Normal"/>
    <w:uiPriority w:val="99"/>
    <w:semiHidden/>
    <w:unhideWhenUsed/>
    <w:rsid w:val="000B702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0B702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B7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02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B7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21"/>
    <w:rPr>
      <w:rFonts w:eastAsia="Times New Roman" w:cs="Times New Roman"/>
      <w:b/>
      <w:bCs/>
      <w:kern w:val="36"/>
      <w:sz w:val="48"/>
      <w:szCs w:val="48"/>
    </w:rPr>
  </w:style>
  <w:style w:type="paragraph" w:styleId="NormalWeb">
    <w:name w:val="Normal (Web)"/>
    <w:basedOn w:val="Normal"/>
    <w:uiPriority w:val="99"/>
    <w:semiHidden/>
    <w:unhideWhenUsed/>
    <w:rsid w:val="000B702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0B702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B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8718">
      <w:bodyDiv w:val="1"/>
      <w:marLeft w:val="0"/>
      <w:marRight w:val="0"/>
      <w:marTop w:val="0"/>
      <w:marBottom w:val="0"/>
      <w:divBdr>
        <w:top w:val="none" w:sz="0" w:space="0" w:color="auto"/>
        <w:left w:val="none" w:sz="0" w:space="0" w:color="auto"/>
        <w:bottom w:val="none" w:sz="0" w:space="0" w:color="auto"/>
        <w:right w:val="none" w:sz="0" w:space="0" w:color="auto"/>
      </w:divBdr>
    </w:div>
    <w:div w:id="1326277028">
      <w:bodyDiv w:val="1"/>
      <w:marLeft w:val="0"/>
      <w:marRight w:val="0"/>
      <w:marTop w:val="0"/>
      <w:marBottom w:val="0"/>
      <w:divBdr>
        <w:top w:val="none" w:sz="0" w:space="0" w:color="auto"/>
        <w:left w:val="none" w:sz="0" w:space="0" w:color="auto"/>
        <w:bottom w:val="none" w:sz="0" w:space="0" w:color="auto"/>
        <w:right w:val="none" w:sz="0" w:space="0" w:color="auto"/>
      </w:divBdr>
    </w:div>
    <w:div w:id="2073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x.org/Pages/Class.aspx?course=AWR160&amp;courseTitle=WMD/Terrorism+Awareness+for+Emergency+Respon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2</cp:revision>
  <dcterms:created xsi:type="dcterms:W3CDTF">2016-09-27T18:43:00Z</dcterms:created>
  <dcterms:modified xsi:type="dcterms:W3CDTF">2016-09-27T18:43:00Z</dcterms:modified>
</cp:coreProperties>
</file>