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1DFA28" w14:textId="77777777" w:rsidR="0032479B" w:rsidRPr="00275E87" w:rsidRDefault="0032479B" w:rsidP="0032479B">
      <w:pPr>
        <w:spacing w:after="0"/>
        <w:rPr>
          <w:rFonts w:ascii="Times New Roman" w:hAnsi="Times New Roman" w:cs="Times New Roman"/>
          <w:b/>
          <w:sz w:val="24"/>
          <w:szCs w:val="24"/>
        </w:rPr>
      </w:pPr>
      <w:r w:rsidRPr="00275E87">
        <w:rPr>
          <w:rFonts w:ascii="Times New Roman" w:hAnsi="Times New Roman" w:cs="Times New Roman"/>
          <w:b/>
          <w:sz w:val="24"/>
          <w:szCs w:val="24"/>
        </w:rPr>
        <w:t>FOR IMMEDIATE RELEASE</w:t>
      </w:r>
    </w:p>
    <w:p w14:paraId="4112A427" w14:textId="77777777" w:rsidR="0032479B" w:rsidRPr="00275E87" w:rsidRDefault="0032479B" w:rsidP="0032479B">
      <w:pPr>
        <w:spacing w:after="0"/>
        <w:rPr>
          <w:rFonts w:ascii="Times New Roman" w:hAnsi="Times New Roman" w:cs="Times New Roman"/>
          <w:b/>
          <w:sz w:val="24"/>
          <w:szCs w:val="24"/>
        </w:rPr>
      </w:pPr>
    </w:p>
    <w:p w14:paraId="03303AEC" w14:textId="348BEF6F" w:rsidR="0032479B" w:rsidRPr="00275E87" w:rsidRDefault="0032479B" w:rsidP="0032479B">
      <w:pPr>
        <w:spacing w:after="0" w:line="240" w:lineRule="auto"/>
        <w:rPr>
          <w:rFonts w:ascii="Times New Roman" w:hAnsi="Times New Roman" w:cs="Times New Roman"/>
          <w:b/>
          <w:sz w:val="24"/>
          <w:szCs w:val="24"/>
          <w:u w:val="single"/>
        </w:rPr>
      </w:pPr>
      <w:r w:rsidRPr="00275E87">
        <w:rPr>
          <w:rFonts w:ascii="Times New Roman" w:hAnsi="Times New Roman" w:cs="Times New Roman"/>
          <w:b/>
          <w:sz w:val="24"/>
          <w:szCs w:val="24"/>
          <w:u w:val="single"/>
        </w:rPr>
        <w:t>Media Contact</w:t>
      </w:r>
      <w:r w:rsidR="004723BD">
        <w:rPr>
          <w:rFonts w:ascii="Times New Roman" w:hAnsi="Times New Roman" w:cs="Times New Roman"/>
          <w:b/>
          <w:sz w:val="24"/>
          <w:szCs w:val="24"/>
          <w:u w:val="single"/>
        </w:rPr>
        <w:t>s</w:t>
      </w:r>
    </w:p>
    <w:p w14:paraId="776D4A24" w14:textId="0ED9503E" w:rsidR="004723BD" w:rsidRDefault="004723BD" w:rsidP="0032479B">
      <w:pPr>
        <w:spacing w:after="0" w:line="240" w:lineRule="auto"/>
        <w:rPr>
          <w:rFonts w:ascii="Times New Roman" w:hAnsi="Times New Roman" w:cs="Times New Roman"/>
          <w:sz w:val="24"/>
          <w:szCs w:val="24"/>
        </w:rPr>
      </w:pPr>
      <w:r>
        <w:rPr>
          <w:rFonts w:ascii="Times New Roman" w:hAnsi="Times New Roman" w:cs="Times New Roman"/>
          <w:sz w:val="24"/>
          <w:szCs w:val="24"/>
        </w:rPr>
        <w:t>Utah Geological Survey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U.S. Geological Survey</w:t>
      </w:r>
      <w:bookmarkStart w:id="0" w:name="_GoBack"/>
      <w:bookmarkEnd w:id="0"/>
    </w:p>
    <w:p w14:paraId="6C511F89" w14:textId="375E0644" w:rsidR="0032479B" w:rsidRPr="00275E87" w:rsidRDefault="00320BEE" w:rsidP="0032479B">
      <w:pPr>
        <w:spacing w:after="0" w:line="240" w:lineRule="auto"/>
        <w:rPr>
          <w:rFonts w:ascii="Times New Roman" w:hAnsi="Times New Roman" w:cs="Times New Roman"/>
          <w:sz w:val="24"/>
          <w:szCs w:val="24"/>
        </w:rPr>
      </w:pPr>
      <w:r>
        <w:rPr>
          <w:rFonts w:ascii="Times New Roman" w:hAnsi="Times New Roman" w:cs="Times New Roman"/>
          <w:sz w:val="24"/>
          <w:szCs w:val="24"/>
        </w:rPr>
        <w:t>Mark Milligan</w:t>
      </w:r>
      <w:r w:rsidR="004723BD">
        <w:rPr>
          <w:rFonts w:ascii="Times New Roman" w:hAnsi="Times New Roman" w:cs="Times New Roman"/>
          <w:sz w:val="24"/>
          <w:szCs w:val="24"/>
        </w:rPr>
        <w:tab/>
      </w:r>
      <w:r w:rsidR="004723BD">
        <w:rPr>
          <w:rFonts w:ascii="Times New Roman" w:hAnsi="Times New Roman" w:cs="Times New Roman"/>
          <w:sz w:val="24"/>
          <w:szCs w:val="24"/>
        </w:rPr>
        <w:tab/>
      </w:r>
      <w:r w:rsidR="004723BD">
        <w:rPr>
          <w:rFonts w:ascii="Times New Roman" w:hAnsi="Times New Roman" w:cs="Times New Roman"/>
          <w:sz w:val="24"/>
          <w:szCs w:val="24"/>
        </w:rPr>
        <w:tab/>
      </w:r>
      <w:r w:rsidR="004723BD">
        <w:rPr>
          <w:rFonts w:ascii="Times New Roman" w:hAnsi="Times New Roman" w:cs="Times New Roman"/>
          <w:sz w:val="24"/>
          <w:szCs w:val="24"/>
        </w:rPr>
        <w:tab/>
      </w:r>
      <w:r w:rsidR="004723BD">
        <w:rPr>
          <w:rFonts w:ascii="Times New Roman" w:hAnsi="Times New Roman" w:cs="Times New Roman"/>
          <w:sz w:val="24"/>
          <w:szCs w:val="24"/>
        </w:rPr>
        <w:tab/>
        <w:t xml:space="preserve">Jennifer </w:t>
      </w:r>
      <w:proofErr w:type="spellStart"/>
      <w:r w:rsidR="004723BD">
        <w:rPr>
          <w:rFonts w:ascii="Times New Roman" w:hAnsi="Times New Roman" w:cs="Times New Roman"/>
          <w:sz w:val="24"/>
          <w:szCs w:val="24"/>
        </w:rPr>
        <w:t>LaVista</w:t>
      </w:r>
      <w:proofErr w:type="spellEnd"/>
    </w:p>
    <w:p w14:paraId="7F33C6A0" w14:textId="12FA3D30" w:rsidR="0032479B" w:rsidRPr="00275E87" w:rsidRDefault="00320BEE" w:rsidP="0032479B">
      <w:pPr>
        <w:spacing w:after="0" w:line="240" w:lineRule="auto"/>
        <w:rPr>
          <w:rFonts w:ascii="Times New Roman" w:hAnsi="Times New Roman" w:cs="Times New Roman"/>
          <w:sz w:val="24"/>
          <w:szCs w:val="24"/>
        </w:rPr>
      </w:pPr>
      <w:r>
        <w:rPr>
          <w:rFonts w:ascii="Times New Roman" w:hAnsi="Times New Roman" w:cs="Times New Roman"/>
          <w:sz w:val="24"/>
          <w:szCs w:val="24"/>
        </w:rPr>
        <w:t>801-537-3326</w:t>
      </w:r>
      <w:r w:rsidR="004723BD">
        <w:rPr>
          <w:rFonts w:ascii="Times New Roman" w:hAnsi="Times New Roman" w:cs="Times New Roman"/>
          <w:sz w:val="24"/>
          <w:szCs w:val="24"/>
        </w:rPr>
        <w:tab/>
      </w:r>
      <w:r w:rsidR="004723BD">
        <w:rPr>
          <w:rFonts w:ascii="Times New Roman" w:hAnsi="Times New Roman" w:cs="Times New Roman"/>
          <w:sz w:val="24"/>
          <w:szCs w:val="24"/>
        </w:rPr>
        <w:tab/>
      </w:r>
      <w:r w:rsidR="004723BD">
        <w:rPr>
          <w:rFonts w:ascii="Times New Roman" w:hAnsi="Times New Roman" w:cs="Times New Roman"/>
          <w:sz w:val="24"/>
          <w:szCs w:val="24"/>
        </w:rPr>
        <w:tab/>
      </w:r>
      <w:r w:rsidR="004723BD">
        <w:rPr>
          <w:rFonts w:ascii="Times New Roman" w:hAnsi="Times New Roman" w:cs="Times New Roman"/>
          <w:sz w:val="24"/>
          <w:szCs w:val="24"/>
        </w:rPr>
        <w:tab/>
      </w:r>
      <w:r w:rsidR="004723BD">
        <w:rPr>
          <w:rFonts w:ascii="Times New Roman" w:hAnsi="Times New Roman" w:cs="Times New Roman"/>
          <w:sz w:val="24"/>
          <w:szCs w:val="24"/>
        </w:rPr>
        <w:tab/>
        <w:t>303-202-4764</w:t>
      </w:r>
    </w:p>
    <w:p w14:paraId="0057E2A3" w14:textId="7DC38B7D" w:rsidR="0032479B" w:rsidRPr="00275E87" w:rsidRDefault="00320BEE" w:rsidP="0032479B">
      <w:pPr>
        <w:spacing w:after="0" w:line="240" w:lineRule="auto"/>
        <w:rPr>
          <w:rFonts w:ascii="Times New Roman" w:hAnsi="Times New Roman" w:cs="Times New Roman"/>
          <w:sz w:val="24"/>
          <w:szCs w:val="24"/>
        </w:rPr>
      </w:pPr>
      <w:r>
        <w:rPr>
          <w:rFonts w:ascii="Times New Roman" w:hAnsi="Times New Roman" w:cs="Times New Roman"/>
          <w:sz w:val="24"/>
          <w:szCs w:val="24"/>
        </w:rPr>
        <w:t>MarkMilligan</w:t>
      </w:r>
      <w:r w:rsidR="0032479B" w:rsidRPr="00275E87">
        <w:rPr>
          <w:rFonts w:ascii="Times New Roman" w:hAnsi="Times New Roman" w:cs="Times New Roman"/>
          <w:sz w:val="24"/>
          <w:szCs w:val="24"/>
        </w:rPr>
        <w:t>@utah.gov</w:t>
      </w:r>
      <w:r w:rsidR="004723BD">
        <w:rPr>
          <w:rFonts w:ascii="Times New Roman" w:hAnsi="Times New Roman" w:cs="Times New Roman"/>
          <w:sz w:val="24"/>
          <w:szCs w:val="24"/>
        </w:rPr>
        <w:tab/>
      </w:r>
      <w:r w:rsidR="004723BD">
        <w:rPr>
          <w:rFonts w:ascii="Times New Roman" w:hAnsi="Times New Roman" w:cs="Times New Roman"/>
          <w:sz w:val="24"/>
          <w:szCs w:val="24"/>
        </w:rPr>
        <w:tab/>
      </w:r>
      <w:r w:rsidR="004723BD">
        <w:rPr>
          <w:rFonts w:ascii="Times New Roman" w:hAnsi="Times New Roman" w:cs="Times New Roman"/>
          <w:sz w:val="24"/>
          <w:szCs w:val="24"/>
        </w:rPr>
        <w:tab/>
        <w:t>jlavista@usgs.gov</w:t>
      </w:r>
    </w:p>
    <w:p w14:paraId="469E3A17" w14:textId="77777777" w:rsidR="0032479B" w:rsidRPr="00275E87" w:rsidRDefault="0032479B" w:rsidP="0032479B">
      <w:pPr>
        <w:spacing w:after="0" w:line="240" w:lineRule="auto"/>
        <w:rPr>
          <w:rFonts w:ascii="Times New Roman" w:hAnsi="Times New Roman" w:cs="Times New Roman"/>
          <w:sz w:val="24"/>
          <w:szCs w:val="24"/>
        </w:rPr>
      </w:pPr>
    </w:p>
    <w:p w14:paraId="3F276B02" w14:textId="0138D08C" w:rsidR="007542FB" w:rsidRDefault="00D2687B" w:rsidP="0032479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New Report </w:t>
      </w:r>
      <w:r w:rsidR="00A67594">
        <w:rPr>
          <w:rFonts w:ascii="Times New Roman" w:hAnsi="Times New Roman" w:cs="Times New Roman"/>
          <w:b/>
          <w:sz w:val="24"/>
          <w:szCs w:val="24"/>
        </w:rPr>
        <w:t>Forecasts</w:t>
      </w:r>
      <w:r w:rsidR="007542FB">
        <w:rPr>
          <w:rFonts w:ascii="Times New Roman" w:hAnsi="Times New Roman" w:cs="Times New Roman"/>
          <w:b/>
          <w:sz w:val="24"/>
          <w:szCs w:val="24"/>
        </w:rPr>
        <w:t xml:space="preserve"> </w:t>
      </w:r>
      <w:r w:rsidR="00653A74">
        <w:rPr>
          <w:rFonts w:ascii="Times New Roman" w:hAnsi="Times New Roman" w:cs="Times New Roman"/>
          <w:b/>
          <w:sz w:val="24"/>
          <w:szCs w:val="24"/>
        </w:rPr>
        <w:t xml:space="preserve">the </w:t>
      </w:r>
      <w:r w:rsidR="007542FB">
        <w:rPr>
          <w:rFonts w:ascii="Times New Roman" w:hAnsi="Times New Roman" w:cs="Times New Roman"/>
          <w:b/>
          <w:sz w:val="24"/>
          <w:szCs w:val="24"/>
        </w:rPr>
        <w:t xml:space="preserve">High Likelihood </w:t>
      </w:r>
      <w:r w:rsidR="00653A74">
        <w:rPr>
          <w:rFonts w:ascii="Times New Roman" w:hAnsi="Times New Roman" w:cs="Times New Roman"/>
          <w:b/>
          <w:sz w:val="24"/>
          <w:szCs w:val="24"/>
        </w:rPr>
        <w:t xml:space="preserve">of Damaging Earthquakes </w:t>
      </w:r>
    </w:p>
    <w:p w14:paraId="66410E1B" w14:textId="7BA53A6F" w:rsidR="00653A74" w:rsidRDefault="00EE69DE" w:rsidP="0032479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During</w:t>
      </w:r>
      <w:r w:rsidR="00653A74">
        <w:rPr>
          <w:rFonts w:ascii="Times New Roman" w:hAnsi="Times New Roman" w:cs="Times New Roman"/>
          <w:b/>
          <w:sz w:val="24"/>
          <w:szCs w:val="24"/>
        </w:rPr>
        <w:t xml:space="preserve"> the Lifetime of Many</w:t>
      </w:r>
      <w:r>
        <w:rPr>
          <w:rFonts w:ascii="Times New Roman" w:hAnsi="Times New Roman" w:cs="Times New Roman"/>
          <w:b/>
          <w:sz w:val="24"/>
          <w:szCs w:val="24"/>
        </w:rPr>
        <w:t xml:space="preserve"> Utah</w:t>
      </w:r>
      <w:r w:rsidR="00653A74">
        <w:rPr>
          <w:rFonts w:ascii="Times New Roman" w:hAnsi="Times New Roman" w:cs="Times New Roman"/>
          <w:b/>
          <w:sz w:val="24"/>
          <w:szCs w:val="24"/>
        </w:rPr>
        <w:t xml:space="preserve"> Reside</w:t>
      </w:r>
      <w:r w:rsidR="007542FB">
        <w:rPr>
          <w:rFonts w:ascii="Times New Roman" w:hAnsi="Times New Roman" w:cs="Times New Roman"/>
          <w:b/>
          <w:sz w:val="24"/>
          <w:szCs w:val="24"/>
        </w:rPr>
        <w:t>nts</w:t>
      </w:r>
      <w:r w:rsidR="00653A74">
        <w:rPr>
          <w:rFonts w:ascii="Times New Roman" w:hAnsi="Times New Roman" w:cs="Times New Roman"/>
          <w:b/>
          <w:sz w:val="24"/>
          <w:szCs w:val="24"/>
        </w:rPr>
        <w:t xml:space="preserve"> </w:t>
      </w:r>
    </w:p>
    <w:p w14:paraId="68C70E9A" w14:textId="77777777" w:rsidR="0032479B" w:rsidRPr="00275E87" w:rsidRDefault="0032479B" w:rsidP="0032479B">
      <w:pPr>
        <w:spacing w:after="0" w:line="240" w:lineRule="auto"/>
        <w:rPr>
          <w:rFonts w:ascii="Times New Roman" w:hAnsi="Times New Roman" w:cs="Times New Roman"/>
          <w:sz w:val="24"/>
          <w:szCs w:val="24"/>
        </w:rPr>
      </w:pPr>
    </w:p>
    <w:p w14:paraId="1CDBD1FF" w14:textId="2AFA22CA" w:rsidR="00012B91" w:rsidRDefault="0032479B" w:rsidP="000E6E0D">
      <w:pPr>
        <w:spacing w:line="240" w:lineRule="auto"/>
        <w:rPr>
          <w:rFonts w:ascii="Times New Roman" w:hAnsi="Times New Roman" w:cs="Times New Roman"/>
          <w:sz w:val="24"/>
          <w:szCs w:val="24"/>
        </w:rPr>
      </w:pPr>
      <w:r w:rsidRPr="00275E87">
        <w:rPr>
          <w:rFonts w:ascii="Times New Roman" w:hAnsi="Times New Roman" w:cs="Times New Roman"/>
          <w:b/>
          <w:sz w:val="24"/>
          <w:szCs w:val="24"/>
        </w:rPr>
        <w:t xml:space="preserve">Salt Lake City </w:t>
      </w:r>
      <w:r w:rsidR="00082AD1">
        <w:rPr>
          <w:rFonts w:ascii="Times New Roman" w:hAnsi="Times New Roman" w:cs="Times New Roman"/>
          <w:sz w:val="24"/>
          <w:szCs w:val="24"/>
        </w:rPr>
        <w:t>(April 18, 2016</w:t>
      </w:r>
      <w:r w:rsidRPr="00275E87">
        <w:rPr>
          <w:rFonts w:ascii="Times New Roman" w:hAnsi="Times New Roman" w:cs="Times New Roman"/>
          <w:sz w:val="24"/>
          <w:szCs w:val="24"/>
        </w:rPr>
        <w:t xml:space="preserve">) </w:t>
      </w:r>
      <w:r w:rsidR="00AC6528" w:rsidRPr="00275E87">
        <w:rPr>
          <w:rFonts w:ascii="Times New Roman" w:hAnsi="Times New Roman" w:cs="Times New Roman"/>
          <w:b/>
          <w:sz w:val="24"/>
          <w:szCs w:val="24"/>
        </w:rPr>
        <w:t>—</w:t>
      </w:r>
      <w:r w:rsidR="00AC6528">
        <w:rPr>
          <w:rFonts w:ascii="Times New Roman" w:hAnsi="Times New Roman" w:cs="Times New Roman"/>
          <w:b/>
          <w:sz w:val="24"/>
          <w:szCs w:val="24"/>
        </w:rPr>
        <w:t xml:space="preserve"> </w:t>
      </w:r>
      <w:r w:rsidR="008A3EF4">
        <w:rPr>
          <w:rFonts w:ascii="Times New Roman" w:hAnsi="Times New Roman" w:cs="Times New Roman"/>
          <w:sz w:val="24"/>
          <w:szCs w:val="24"/>
        </w:rPr>
        <w:t xml:space="preserve">In </w:t>
      </w:r>
      <w:r w:rsidR="008A3EF4" w:rsidRPr="008A3EF4">
        <w:rPr>
          <w:rFonts w:ascii="Times New Roman" w:hAnsi="Times New Roman" w:cs="Times New Roman"/>
          <w:sz w:val="24"/>
          <w:szCs w:val="24"/>
        </w:rPr>
        <w:t>the first comprehensive study of its kind for Utah</w:t>
      </w:r>
      <w:r w:rsidR="008A3EF4">
        <w:rPr>
          <w:rFonts w:ascii="Times New Roman" w:hAnsi="Times New Roman" w:cs="Times New Roman"/>
          <w:sz w:val="24"/>
          <w:szCs w:val="24"/>
        </w:rPr>
        <w:t>,</w:t>
      </w:r>
      <w:r w:rsidR="008A3EF4" w:rsidRPr="008A3EF4">
        <w:rPr>
          <w:rFonts w:ascii="Times New Roman" w:hAnsi="Times New Roman" w:cs="Times New Roman"/>
          <w:i/>
          <w:sz w:val="24"/>
          <w:szCs w:val="24"/>
        </w:rPr>
        <w:t xml:space="preserve"> </w:t>
      </w:r>
      <w:r w:rsidR="004B642F" w:rsidRPr="004B642F">
        <w:rPr>
          <w:rFonts w:ascii="Times New Roman" w:hAnsi="Times New Roman" w:cs="Times New Roman"/>
          <w:i/>
          <w:sz w:val="24"/>
          <w:szCs w:val="24"/>
        </w:rPr>
        <w:t>Earthquake Probabilities for the Wasatch Front Region in Utah, Idaho, and Wyoming</w:t>
      </w:r>
      <w:r w:rsidR="004B642F">
        <w:rPr>
          <w:rFonts w:ascii="Times New Roman" w:hAnsi="Times New Roman" w:cs="Times New Roman"/>
          <w:sz w:val="24"/>
          <w:szCs w:val="24"/>
        </w:rPr>
        <w:t xml:space="preserve"> </w:t>
      </w:r>
      <w:r w:rsidR="00A67594">
        <w:rPr>
          <w:rFonts w:ascii="Times New Roman" w:hAnsi="Times New Roman" w:cs="Times New Roman"/>
          <w:sz w:val="24"/>
          <w:szCs w:val="24"/>
        </w:rPr>
        <w:t>forecasts</w:t>
      </w:r>
      <w:r w:rsidR="008A3EF4" w:rsidRPr="008A3EF4">
        <w:rPr>
          <w:rFonts w:ascii="Times New Roman" w:hAnsi="Times New Roman" w:cs="Times New Roman"/>
          <w:sz w:val="24"/>
          <w:szCs w:val="24"/>
        </w:rPr>
        <w:t xml:space="preserve"> the chances for damaging earthquakes in the Wasatch Front region.</w:t>
      </w:r>
      <w:r w:rsidR="008A3EF4">
        <w:rPr>
          <w:rFonts w:ascii="Times New Roman" w:hAnsi="Times New Roman" w:cs="Times New Roman"/>
          <w:sz w:val="24"/>
          <w:szCs w:val="24"/>
        </w:rPr>
        <w:t xml:space="preserve"> </w:t>
      </w:r>
      <w:r w:rsidR="00843C47">
        <w:rPr>
          <w:rFonts w:ascii="Times New Roman" w:hAnsi="Times New Roman" w:cs="Times New Roman"/>
          <w:sz w:val="24"/>
          <w:szCs w:val="24"/>
        </w:rPr>
        <w:t xml:space="preserve">In the next 50 years there is a 43 percent chance, </w:t>
      </w:r>
      <w:r w:rsidR="00843C47" w:rsidRPr="00843C47">
        <w:rPr>
          <w:rFonts w:ascii="Times New Roman" w:hAnsi="Times New Roman" w:cs="Times New Roman"/>
          <w:sz w:val="24"/>
          <w:szCs w:val="24"/>
        </w:rPr>
        <w:t>or nearly 1-out-of-2 odds</w:t>
      </w:r>
      <w:r w:rsidR="00843C47">
        <w:rPr>
          <w:rFonts w:ascii="Times New Roman" w:hAnsi="Times New Roman" w:cs="Times New Roman"/>
          <w:sz w:val="24"/>
          <w:szCs w:val="24"/>
        </w:rPr>
        <w:t xml:space="preserve">, of </w:t>
      </w:r>
      <w:r w:rsidR="00B51291">
        <w:rPr>
          <w:rFonts w:ascii="Times New Roman" w:hAnsi="Times New Roman" w:cs="Times New Roman"/>
          <w:sz w:val="24"/>
          <w:szCs w:val="24"/>
        </w:rPr>
        <w:t>at least one</w:t>
      </w:r>
      <w:r w:rsidR="00843C47">
        <w:rPr>
          <w:rFonts w:ascii="Times New Roman" w:hAnsi="Times New Roman" w:cs="Times New Roman"/>
          <w:sz w:val="24"/>
          <w:szCs w:val="24"/>
        </w:rPr>
        <w:t xml:space="preserve"> large earthquake of magnitude 6.75 or greater. For a moderate quake of magnitude 5 or greater the probability is 93 percent</w:t>
      </w:r>
      <w:r w:rsidR="00843C47" w:rsidRPr="00843C47">
        <w:rPr>
          <w:rFonts w:ascii="Times New Roman" w:hAnsi="Times New Roman" w:cs="Times New Roman"/>
          <w:sz w:val="24"/>
          <w:szCs w:val="24"/>
        </w:rPr>
        <w:t>, or greater than 9-out-of-10 odds</w:t>
      </w:r>
      <w:r w:rsidR="00843C47">
        <w:rPr>
          <w:rFonts w:ascii="Times New Roman" w:hAnsi="Times New Roman" w:cs="Times New Roman"/>
          <w:sz w:val="24"/>
          <w:szCs w:val="24"/>
        </w:rPr>
        <w:t>.</w:t>
      </w:r>
    </w:p>
    <w:p w14:paraId="5227A1E0" w14:textId="0CC03A7C" w:rsidR="00A075D6" w:rsidRDefault="00012B91" w:rsidP="000E6E0D">
      <w:pPr>
        <w:spacing w:line="240" w:lineRule="auto"/>
        <w:rPr>
          <w:rFonts w:ascii="Times New Roman" w:hAnsi="Times New Roman" w:cs="Times New Roman"/>
          <w:sz w:val="24"/>
          <w:szCs w:val="24"/>
        </w:rPr>
      </w:pPr>
      <w:r>
        <w:rPr>
          <w:rFonts w:ascii="Times New Roman" w:hAnsi="Times New Roman" w:cs="Times New Roman"/>
          <w:sz w:val="24"/>
          <w:szCs w:val="24"/>
        </w:rPr>
        <w:t>“</w:t>
      </w:r>
      <w:r w:rsidRPr="00012B91">
        <w:rPr>
          <w:rFonts w:ascii="Times New Roman" w:hAnsi="Times New Roman" w:cs="Times New Roman"/>
          <w:sz w:val="24"/>
          <w:szCs w:val="24"/>
        </w:rPr>
        <w:t xml:space="preserve">Considering that the average age of Utah’s citizens is the youngest in the nation </w:t>
      </w:r>
      <w:r w:rsidR="00FD66B3">
        <w:rPr>
          <w:rFonts w:ascii="Times New Roman" w:hAnsi="Times New Roman" w:cs="Times New Roman"/>
          <w:sz w:val="24"/>
          <w:szCs w:val="24"/>
        </w:rPr>
        <w:t>at about 29</w:t>
      </w:r>
      <w:r w:rsidRPr="00012B91">
        <w:rPr>
          <w:rFonts w:ascii="Times New Roman" w:hAnsi="Times New Roman" w:cs="Times New Roman"/>
          <w:sz w:val="24"/>
          <w:szCs w:val="24"/>
        </w:rPr>
        <w:t xml:space="preserve"> years, there is a realistic chance that many current residents will experience a large </w:t>
      </w:r>
      <w:r w:rsidR="00FD66B3">
        <w:rPr>
          <w:rFonts w:ascii="Times New Roman" w:hAnsi="Times New Roman" w:cs="Times New Roman"/>
          <w:sz w:val="24"/>
          <w:szCs w:val="24"/>
        </w:rPr>
        <w:t xml:space="preserve">earthquake in their lifetime,” says Ivan Wong, Principal Seismologist at </w:t>
      </w:r>
      <w:proofErr w:type="spellStart"/>
      <w:r w:rsidR="00FD66B3">
        <w:rPr>
          <w:rFonts w:ascii="Times New Roman" w:hAnsi="Times New Roman" w:cs="Times New Roman"/>
          <w:sz w:val="24"/>
          <w:szCs w:val="24"/>
        </w:rPr>
        <w:t>Lettis</w:t>
      </w:r>
      <w:proofErr w:type="spellEnd"/>
      <w:r w:rsidR="00FD66B3">
        <w:rPr>
          <w:rFonts w:ascii="Times New Roman" w:hAnsi="Times New Roman" w:cs="Times New Roman"/>
          <w:sz w:val="24"/>
          <w:szCs w:val="24"/>
        </w:rPr>
        <w:t xml:space="preserve"> Consultants International and lead author of the report.</w:t>
      </w:r>
    </w:p>
    <w:p w14:paraId="76856154" w14:textId="41822932" w:rsidR="003611C0" w:rsidRPr="003611C0" w:rsidRDefault="00A075D6" w:rsidP="000E6E0D">
      <w:pPr>
        <w:spacing w:line="240" w:lineRule="auto"/>
        <w:rPr>
          <w:rFonts w:ascii="Times New Roman" w:hAnsi="Times New Roman" w:cs="Times New Roman"/>
          <w:sz w:val="24"/>
          <w:szCs w:val="24"/>
        </w:rPr>
      </w:pPr>
      <w:r w:rsidRPr="00A075D6">
        <w:rPr>
          <w:rFonts w:ascii="Times New Roman" w:hAnsi="Times New Roman" w:cs="Times New Roman"/>
          <w:sz w:val="24"/>
          <w:szCs w:val="24"/>
        </w:rPr>
        <w:t>The soon-to-be-released report is a collaboration of 14 scientists from academia, federal and state agencies, and private industry. The results underscore the importance of being prepared for damaging earthquakes in Utah.</w:t>
      </w:r>
    </w:p>
    <w:p w14:paraId="113883CA" w14:textId="537CD545" w:rsidR="005E78D1" w:rsidRPr="005E78D1" w:rsidRDefault="003611C0" w:rsidP="000E6E0D">
      <w:pPr>
        <w:spacing w:line="240" w:lineRule="auto"/>
        <w:rPr>
          <w:rFonts w:ascii="Times New Roman" w:hAnsi="Times New Roman" w:cs="Times New Roman"/>
          <w:sz w:val="24"/>
          <w:szCs w:val="24"/>
        </w:rPr>
      </w:pPr>
      <w:r w:rsidRPr="003611C0">
        <w:rPr>
          <w:rFonts w:ascii="Times New Roman" w:hAnsi="Times New Roman" w:cs="Times New Roman"/>
          <w:sz w:val="24"/>
          <w:szCs w:val="24"/>
        </w:rPr>
        <w:t xml:space="preserve">Scientists cannot predict exactly when and where an earthquake will occur and thus rely on forecasts to convey the chances of future quakes. Similar to weather forecasts, earthquake forecasts give the probability that an earthquake of a specific magnitude will occur within a specific region within a particular time period. </w:t>
      </w:r>
    </w:p>
    <w:p w14:paraId="16EAD86E" w14:textId="0D242B02" w:rsidR="006A0C99" w:rsidRDefault="005E78D1" w:rsidP="000E6E0D">
      <w:pPr>
        <w:spacing w:line="240" w:lineRule="auto"/>
        <w:rPr>
          <w:rFonts w:ascii="Times New Roman" w:hAnsi="Times New Roman" w:cs="Times New Roman"/>
          <w:sz w:val="24"/>
          <w:szCs w:val="24"/>
        </w:rPr>
      </w:pPr>
      <w:r w:rsidRPr="005E78D1">
        <w:rPr>
          <w:rFonts w:ascii="Times New Roman" w:hAnsi="Times New Roman" w:cs="Times New Roman"/>
          <w:sz w:val="24"/>
          <w:szCs w:val="24"/>
        </w:rPr>
        <w:t>The new report forecasts quakes within the Wasatch Front region, where nearly 80 percent of Utah’s population</w:t>
      </w:r>
      <w:r w:rsidR="00C136B5">
        <w:rPr>
          <w:rFonts w:ascii="Times New Roman" w:hAnsi="Times New Roman" w:cs="Times New Roman"/>
          <w:sz w:val="24"/>
          <w:szCs w:val="24"/>
        </w:rPr>
        <w:t xml:space="preserve"> resides.</w:t>
      </w:r>
      <w:r w:rsidRPr="005E78D1">
        <w:rPr>
          <w:rFonts w:ascii="Times New Roman" w:hAnsi="Times New Roman" w:cs="Times New Roman"/>
          <w:sz w:val="24"/>
          <w:szCs w:val="24"/>
        </w:rPr>
        <w:t xml:space="preserve"> </w:t>
      </w:r>
      <w:r w:rsidR="00C136B5">
        <w:rPr>
          <w:rFonts w:ascii="Times New Roman" w:hAnsi="Times New Roman" w:cs="Times New Roman"/>
          <w:sz w:val="24"/>
          <w:szCs w:val="24"/>
        </w:rPr>
        <w:t>The report</w:t>
      </w:r>
      <w:r w:rsidRPr="005E78D1">
        <w:rPr>
          <w:rFonts w:ascii="Times New Roman" w:hAnsi="Times New Roman" w:cs="Times New Roman"/>
          <w:sz w:val="24"/>
          <w:szCs w:val="24"/>
        </w:rPr>
        <w:t xml:space="preserve"> covers time periods significant to an individual’s lif</w:t>
      </w:r>
      <w:r w:rsidR="00C136B5">
        <w:rPr>
          <w:rFonts w:ascii="Times New Roman" w:hAnsi="Times New Roman" w:cs="Times New Roman"/>
          <w:sz w:val="24"/>
          <w:szCs w:val="24"/>
        </w:rPr>
        <w:t>etime of 30, 50, and 100 years, and</w:t>
      </w:r>
      <w:r w:rsidRPr="005E78D1">
        <w:rPr>
          <w:rFonts w:ascii="Times New Roman" w:hAnsi="Times New Roman" w:cs="Times New Roman"/>
          <w:sz w:val="24"/>
          <w:szCs w:val="24"/>
        </w:rPr>
        <w:t xml:space="preserve"> addresses earthquakes strong enough to potentially cause significant to catastrophic damage, magnitude 5 up to about 7.5. Even a moderate quake of magnitude 5 can cause considerable damage such as fallen plaster and broken chimneys, but a large quake of magnitude 6.75 or greater can cause catastrophic damage, including collapse, to structures such as unreinforced masonry (brick) buildings.</w:t>
      </w:r>
    </w:p>
    <w:p w14:paraId="3A040D23" w14:textId="53115F9B" w:rsidR="00A075D6" w:rsidRPr="00A075D6" w:rsidRDefault="00465D00" w:rsidP="00A075D6">
      <w:pPr>
        <w:spacing w:after="0" w:line="240" w:lineRule="auto"/>
        <w:rPr>
          <w:rFonts w:ascii="Times New Roman" w:hAnsi="Times New Roman" w:cs="Times New Roman"/>
          <w:sz w:val="24"/>
          <w:szCs w:val="24"/>
        </w:rPr>
        <w:sectPr w:rsidR="00A075D6" w:rsidRPr="00A075D6" w:rsidSect="00F85554">
          <w:headerReference w:type="default" r:id="rId7"/>
          <w:footerReference w:type="default" r:id="rId8"/>
          <w:pgSz w:w="12240" w:h="15840"/>
          <w:pgMar w:top="1440" w:right="1440" w:bottom="1440" w:left="1440" w:header="720" w:footer="576" w:gutter="0"/>
          <w:cols w:space="720"/>
          <w:docGrid w:linePitch="360"/>
        </w:sectPr>
      </w:pPr>
      <w:r>
        <w:rPr>
          <w:rFonts w:ascii="Times New Roman" w:hAnsi="Times New Roman" w:cs="Times New Roman"/>
          <w:sz w:val="24"/>
          <w:szCs w:val="24"/>
        </w:rPr>
        <w:t>The well-known Wasatch fault is the most likely fault in the region to generate a large earthquake</w:t>
      </w:r>
      <w:r w:rsidR="00B51291">
        <w:rPr>
          <w:rFonts w:ascii="Times New Roman" w:hAnsi="Times New Roman" w:cs="Times New Roman"/>
          <w:sz w:val="24"/>
          <w:szCs w:val="24"/>
        </w:rPr>
        <w:t>, having an 18 percent probability of at least one earthquake of magnitude 6.75 or greater in the next 50 years</w:t>
      </w:r>
      <w:r>
        <w:rPr>
          <w:rFonts w:ascii="Times New Roman" w:hAnsi="Times New Roman" w:cs="Times New Roman"/>
          <w:sz w:val="24"/>
          <w:szCs w:val="24"/>
        </w:rPr>
        <w:t>.</w:t>
      </w:r>
      <w:r w:rsidR="00B51291">
        <w:rPr>
          <w:rFonts w:ascii="Times New Roman" w:hAnsi="Times New Roman" w:cs="Times New Roman"/>
          <w:sz w:val="24"/>
          <w:szCs w:val="24"/>
        </w:rPr>
        <w:t xml:space="preserve"> However, t</w:t>
      </w:r>
      <w:r w:rsidR="003D4CD8">
        <w:rPr>
          <w:rFonts w:ascii="Times New Roman" w:hAnsi="Times New Roman" w:cs="Times New Roman"/>
          <w:sz w:val="24"/>
          <w:szCs w:val="24"/>
        </w:rPr>
        <w:t xml:space="preserve">he </w:t>
      </w:r>
      <w:r w:rsidR="00B51291">
        <w:rPr>
          <w:rFonts w:ascii="Times New Roman" w:hAnsi="Times New Roman" w:cs="Times New Roman"/>
          <w:sz w:val="24"/>
          <w:szCs w:val="24"/>
        </w:rPr>
        <w:t xml:space="preserve">new </w:t>
      </w:r>
      <w:r w:rsidR="003D4CD8">
        <w:rPr>
          <w:rFonts w:ascii="Times New Roman" w:hAnsi="Times New Roman" w:cs="Times New Roman"/>
          <w:sz w:val="24"/>
          <w:szCs w:val="24"/>
        </w:rPr>
        <w:t>report highlights</w:t>
      </w:r>
      <w:r w:rsidR="0018219A">
        <w:rPr>
          <w:rFonts w:ascii="Times New Roman" w:hAnsi="Times New Roman" w:cs="Times New Roman"/>
          <w:sz w:val="24"/>
          <w:szCs w:val="24"/>
        </w:rPr>
        <w:t xml:space="preserve"> many other</w:t>
      </w:r>
      <w:r w:rsidR="006A0C99">
        <w:rPr>
          <w:rFonts w:ascii="Times New Roman" w:hAnsi="Times New Roman" w:cs="Times New Roman"/>
          <w:sz w:val="24"/>
          <w:szCs w:val="24"/>
        </w:rPr>
        <w:t xml:space="preserve"> mapped and even u</w:t>
      </w:r>
      <w:r w:rsidR="00A60563">
        <w:rPr>
          <w:rFonts w:ascii="Times New Roman" w:hAnsi="Times New Roman" w:cs="Times New Roman"/>
          <w:sz w:val="24"/>
          <w:szCs w:val="24"/>
        </w:rPr>
        <w:t>nmapped faults that contribute to the</w:t>
      </w:r>
      <w:r w:rsidR="006A0C99">
        <w:rPr>
          <w:rFonts w:ascii="Times New Roman" w:hAnsi="Times New Roman" w:cs="Times New Roman"/>
          <w:sz w:val="24"/>
          <w:szCs w:val="24"/>
        </w:rPr>
        <w:t xml:space="preserve"> chances of an earthquake. </w:t>
      </w:r>
      <w:r>
        <w:rPr>
          <w:rFonts w:ascii="Times New Roman" w:hAnsi="Times New Roman" w:cs="Times New Roman"/>
          <w:sz w:val="24"/>
          <w:szCs w:val="24"/>
        </w:rPr>
        <w:t>W</w:t>
      </w:r>
      <w:r w:rsidR="00EE69DE">
        <w:rPr>
          <w:rFonts w:ascii="Times New Roman" w:hAnsi="Times New Roman" w:cs="Times New Roman"/>
          <w:sz w:val="24"/>
          <w:szCs w:val="24"/>
        </w:rPr>
        <w:t xml:space="preserve">hen </w:t>
      </w:r>
      <w:r w:rsidR="0018219A">
        <w:rPr>
          <w:rFonts w:ascii="Times New Roman" w:hAnsi="Times New Roman" w:cs="Times New Roman"/>
          <w:sz w:val="24"/>
          <w:szCs w:val="24"/>
        </w:rPr>
        <w:t>considered together</w:t>
      </w:r>
      <w:r w:rsidR="00B51291">
        <w:rPr>
          <w:rFonts w:ascii="Times New Roman" w:hAnsi="Times New Roman" w:cs="Times New Roman"/>
          <w:sz w:val="24"/>
          <w:szCs w:val="24"/>
        </w:rPr>
        <w:t>,</w:t>
      </w:r>
      <w:r w:rsidR="0018219A">
        <w:rPr>
          <w:rFonts w:ascii="Times New Roman" w:hAnsi="Times New Roman" w:cs="Times New Roman"/>
          <w:sz w:val="24"/>
          <w:szCs w:val="24"/>
        </w:rPr>
        <w:t xml:space="preserve"> </w:t>
      </w:r>
      <w:r w:rsidR="00EE69DE">
        <w:rPr>
          <w:rFonts w:ascii="Times New Roman" w:hAnsi="Times New Roman" w:cs="Times New Roman"/>
          <w:sz w:val="24"/>
          <w:szCs w:val="24"/>
        </w:rPr>
        <w:t xml:space="preserve">these many faults </w:t>
      </w:r>
      <w:r w:rsidR="00B51291">
        <w:rPr>
          <w:rFonts w:ascii="Times New Roman" w:hAnsi="Times New Roman" w:cs="Times New Roman"/>
          <w:sz w:val="24"/>
          <w:szCs w:val="24"/>
        </w:rPr>
        <w:t xml:space="preserve">significantly increase the regional </w:t>
      </w:r>
      <w:r w:rsidR="00EE69DE">
        <w:rPr>
          <w:rFonts w:ascii="Times New Roman" w:hAnsi="Times New Roman" w:cs="Times New Roman"/>
          <w:sz w:val="24"/>
          <w:szCs w:val="24"/>
        </w:rPr>
        <w:t>probabilities of a</w:t>
      </w:r>
      <w:r>
        <w:rPr>
          <w:rFonts w:ascii="Times New Roman" w:hAnsi="Times New Roman" w:cs="Times New Roman"/>
          <w:sz w:val="24"/>
          <w:szCs w:val="24"/>
        </w:rPr>
        <w:t>n</w:t>
      </w:r>
      <w:r w:rsidR="00EE69DE">
        <w:rPr>
          <w:rFonts w:ascii="Times New Roman" w:hAnsi="Times New Roman" w:cs="Times New Roman"/>
          <w:sz w:val="24"/>
          <w:szCs w:val="24"/>
        </w:rPr>
        <w:t xml:space="preserve"> </w:t>
      </w:r>
      <w:r>
        <w:rPr>
          <w:rFonts w:ascii="Times New Roman" w:hAnsi="Times New Roman" w:cs="Times New Roman"/>
          <w:sz w:val="24"/>
          <w:szCs w:val="24"/>
        </w:rPr>
        <w:t>earth</w:t>
      </w:r>
      <w:r w:rsidR="00EE69DE">
        <w:rPr>
          <w:rFonts w:ascii="Times New Roman" w:hAnsi="Times New Roman" w:cs="Times New Roman"/>
          <w:sz w:val="24"/>
          <w:szCs w:val="24"/>
        </w:rPr>
        <w:t>quake.</w:t>
      </w:r>
    </w:p>
    <w:p w14:paraId="5F7B408D" w14:textId="77777777" w:rsidR="00A075D6" w:rsidRPr="00A075D6" w:rsidRDefault="00A075D6" w:rsidP="00A075D6">
      <w:pPr>
        <w:spacing w:after="0" w:line="240" w:lineRule="auto"/>
        <w:rPr>
          <w:rFonts w:ascii="Times New Roman" w:hAnsi="Times New Roman" w:cs="Times New Roman"/>
          <w:sz w:val="24"/>
          <w:szCs w:val="24"/>
        </w:rPr>
      </w:pPr>
    </w:p>
    <w:p w14:paraId="15B352F6" w14:textId="77C6D940" w:rsidR="000E6E0D" w:rsidRPr="000E6E0D" w:rsidRDefault="000E6E0D" w:rsidP="009C540A">
      <w:pPr>
        <w:spacing w:line="240" w:lineRule="auto"/>
        <w:rPr>
          <w:rFonts w:ascii="Times New Roman" w:hAnsi="Times New Roman" w:cs="Times New Roman"/>
          <w:sz w:val="24"/>
          <w:szCs w:val="24"/>
        </w:rPr>
      </w:pPr>
      <w:r w:rsidRPr="000E6E0D">
        <w:rPr>
          <w:rFonts w:ascii="Times New Roman" w:hAnsi="Times New Roman" w:cs="Times New Roman"/>
          <w:sz w:val="24"/>
          <w:szCs w:val="24"/>
        </w:rPr>
        <w:t>Utah residents have several resources available to help them with earthquake preparedness. The annual Great Utah Shakeout is Utah’s largest earthquake drill. Nearly 1 million people are expected to participate in this year’s drill on April 21</w:t>
      </w:r>
      <w:r w:rsidRPr="000E6E0D">
        <w:rPr>
          <w:rFonts w:ascii="Times New Roman" w:hAnsi="Times New Roman" w:cs="Times New Roman"/>
          <w:sz w:val="24"/>
          <w:szCs w:val="24"/>
          <w:vertAlign w:val="superscript"/>
        </w:rPr>
        <w:t>st</w:t>
      </w:r>
      <w:r w:rsidRPr="000E6E0D">
        <w:rPr>
          <w:rFonts w:ascii="Times New Roman" w:hAnsi="Times New Roman" w:cs="Times New Roman"/>
          <w:sz w:val="24"/>
          <w:szCs w:val="24"/>
        </w:rPr>
        <w:t xml:space="preserve">. For more information and to sign up see </w:t>
      </w:r>
      <w:hyperlink r:id="rId9" w:history="1">
        <w:r w:rsidR="009C540A">
          <w:rPr>
            <w:rStyle w:val="Hyperlink"/>
            <w:rFonts w:ascii="Times New Roman" w:hAnsi="Times New Roman" w:cs="Times New Roman"/>
            <w:sz w:val="24"/>
            <w:szCs w:val="24"/>
          </w:rPr>
          <w:t>shakeout.org/</w:t>
        </w:r>
        <w:proofErr w:type="spellStart"/>
        <w:r w:rsidR="009C540A">
          <w:rPr>
            <w:rStyle w:val="Hyperlink"/>
            <w:rFonts w:ascii="Times New Roman" w:hAnsi="Times New Roman" w:cs="Times New Roman"/>
            <w:sz w:val="24"/>
            <w:szCs w:val="24"/>
          </w:rPr>
          <w:t>utah</w:t>
        </w:r>
        <w:proofErr w:type="spellEnd"/>
      </w:hyperlink>
      <w:r w:rsidRPr="000E6E0D">
        <w:rPr>
          <w:rFonts w:ascii="Times New Roman" w:hAnsi="Times New Roman" w:cs="Times New Roman"/>
          <w:sz w:val="24"/>
          <w:szCs w:val="24"/>
        </w:rPr>
        <w:t>.</w:t>
      </w:r>
    </w:p>
    <w:p w14:paraId="5D7B4953" w14:textId="42300937" w:rsidR="00585809" w:rsidRDefault="000E6E0D" w:rsidP="009C540A">
      <w:pPr>
        <w:spacing w:line="240" w:lineRule="auto"/>
        <w:rPr>
          <w:rFonts w:ascii="Times New Roman" w:hAnsi="Times New Roman" w:cs="Times New Roman"/>
          <w:sz w:val="24"/>
          <w:szCs w:val="24"/>
        </w:rPr>
      </w:pPr>
      <w:r w:rsidRPr="000E6E0D">
        <w:rPr>
          <w:rFonts w:ascii="Times New Roman" w:hAnsi="Times New Roman" w:cs="Times New Roman"/>
          <w:sz w:val="24"/>
          <w:szCs w:val="24"/>
        </w:rPr>
        <w:t>Be Ready Utah, the state’s</w:t>
      </w:r>
      <w:r>
        <w:rPr>
          <w:rFonts w:ascii="Times New Roman" w:hAnsi="Times New Roman" w:cs="Times New Roman"/>
          <w:sz w:val="24"/>
          <w:szCs w:val="24"/>
        </w:rPr>
        <w:t xml:space="preserve"> emergency preparedness program</w:t>
      </w:r>
      <w:r w:rsidRPr="000E6E0D">
        <w:rPr>
          <w:rFonts w:ascii="Times New Roman" w:hAnsi="Times New Roman" w:cs="Times New Roman"/>
          <w:sz w:val="24"/>
          <w:szCs w:val="24"/>
        </w:rPr>
        <w:t xml:space="preserve"> run by the Division of Emergency Management, shares information about earthquakes and other hazards on its website, </w:t>
      </w:r>
      <w:hyperlink r:id="rId10" w:history="1">
        <w:r w:rsidRPr="000E6E0D">
          <w:rPr>
            <w:rStyle w:val="Hyperlink"/>
            <w:rFonts w:ascii="Times New Roman" w:hAnsi="Times New Roman" w:cs="Times New Roman"/>
            <w:sz w:val="24"/>
            <w:szCs w:val="24"/>
          </w:rPr>
          <w:t>BeReadyUtah.gov</w:t>
        </w:r>
      </w:hyperlink>
      <w:r>
        <w:rPr>
          <w:rFonts w:ascii="Times New Roman" w:hAnsi="Times New Roman" w:cs="Times New Roman"/>
          <w:sz w:val="24"/>
          <w:szCs w:val="24"/>
        </w:rPr>
        <w:t>,</w:t>
      </w:r>
      <w:r w:rsidRPr="000E6E0D">
        <w:rPr>
          <w:rFonts w:ascii="Times New Roman" w:hAnsi="Times New Roman" w:cs="Times New Roman"/>
          <w:sz w:val="24"/>
          <w:szCs w:val="24"/>
        </w:rPr>
        <w:t xml:space="preserve"> and everywhere on social media.</w:t>
      </w:r>
    </w:p>
    <w:p w14:paraId="056957B6" w14:textId="145E418D" w:rsidR="00C136B5" w:rsidRDefault="00585809" w:rsidP="009C540A">
      <w:pPr>
        <w:spacing w:line="240" w:lineRule="auto"/>
        <w:rPr>
          <w:rFonts w:ascii="Times New Roman" w:hAnsi="Times New Roman" w:cs="Times New Roman"/>
          <w:sz w:val="24"/>
          <w:szCs w:val="24"/>
        </w:rPr>
      </w:pPr>
      <w:r>
        <w:rPr>
          <w:rFonts w:ascii="Times New Roman" w:hAnsi="Times New Roman" w:cs="Times New Roman"/>
          <w:sz w:val="24"/>
          <w:szCs w:val="24"/>
        </w:rPr>
        <w:t xml:space="preserve">The Utah Seismic Safety Commission publication </w:t>
      </w:r>
      <w:r w:rsidRPr="00596D5C">
        <w:rPr>
          <w:rFonts w:ascii="Times New Roman" w:hAnsi="Times New Roman" w:cs="Times New Roman"/>
          <w:i/>
          <w:sz w:val="24"/>
          <w:szCs w:val="24"/>
        </w:rPr>
        <w:t>Putting Down Roots in Earthquake Country—Your Handbook for Earthquakes in Utah</w:t>
      </w:r>
      <w:r>
        <w:rPr>
          <w:rFonts w:ascii="Times New Roman" w:hAnsi="Times New Roman" w:cs="Times New Roman"/>
          <w:sz w:val="24"/>
          <w:szCs w:val="24"/>
        </w:rPr>
        <w:t xml:space="preserve"> gives information on earthquake hazards and preparedness, and is available at </w:t>
      </w:r>
      <w:hyperlink r:id="rId11" w:history="1">
        <w:r w:rsidR="00D42A96">
          <w:rPr>
            <w:rStyle w:val="Hyperlink"/>
            <w:rFonts w:ascii="Times New Roman" w:hAnsi="Times New Roman" w:cs="Times New Roman"/>
            <w:sz w:val="24"/>
            <w:szCs w:val="24"/>
          </w:rPr>
          <w:t>www.utah.gov/beready/documents/roots_earthquake_low.pdf</w:t>
        </w:r>
      </w:hyperlink>
      <w:r>
        <w:rPr>
          <w:rFonts w:ascii="Times New Roman" w:hAnsi="Times New Roman" w:cs="Times New Roman"/>
          <w:sz w:val="24"/>
          <w:szCs w:val="24"/>
        </w:rPr>
        <w:t>.</w:t>
      </w:r>
    </w:p>
    <w:p w14:paraId="40388037" w14:textId="1ADE0564" w:rsidR="00596D5C" w:rsidRDefault="009C540A" w:rsidP="009C540A">
      <w:pPr>
        <w:spacing w:line="240" w:lineRule="auto"/>
        <w:rPr>
          <w:rFonts w:ascii="Times New Roman" w:hAnsi="Times New Roman" w:cs="Times New Roman"/>
          <w:sz w:val="24"/>
          <w:szCs w:val="24"/>
        </w:rPr>
      </w:pPr>
      <w:r>
        <w:rPr>
          <w:rFonts w:ascii="Times New Roman" w:hAnsi="Times New Roman" w:cs="Times New Roman"/>
          <w:sz w:val="24"/>
          <w:szCs w:val="24"/>
        </w:rPr>
        <w:t>T</w:t>
      </w:r>
      <w:r w:rsidRPr="009C540A">
        <w:rPr>
          <w:rFonts w:ascii="Times New Roman" w:hAnsi="Times New Roman" w:cs="Times New Roman"/>
          <w:sz w:val="24"/>
          <w:szCs w:val="24"/>
        </w:rPr>
        <w:t>he Earthquake and Engineering Research Institute, Utah Chapter,</w:t>
      </w:r>
      <w:r>
        <w:rPr>
          <w:rFonts w:ascii="Times New Roman" w:hAnsi="Times New Roman" w:cs="Times New Roman"/>
          <w:sz w:val="24"/>
          <w:szCs w:val="24"/>
        </w:rPr>
        <w:t xml:space="preserve"> recently published a report describing hazards and loss estimates from a magnitude 7 earthquake in the Salt Lake City area. </w:t>
      </w:r>
      <w:r w:rsidRPr="009C540A">
        <w:rPr>
          <w:rFonts w:ascii="Times New Roman" w:hAnsi="Times New Roman" w:cs="Times New Roman"/>
          <w:i/>
          <w:sz w:val="24"/>
          <w:szCs w:val="24"/>
        </w:rPr>
        <w:t>Scenario for a Magnitude 7.0 Earthquake on the Wasatch Fault–Salt Lake City Segment—Hazards and Loss Estimates</w:t>
      </w:r>
      <w:r>
        <w:rPr>
          <w:rFonts w:ascii="Times New Roman" w:hAnsi="Times New Roman" w:cs="Times New Roman"/>
          <w:sz w:val="24"/>
          <w:szCs w:val="24"/>
        </w:rPr>
        <w:t xml:space="preserve"> is available at </w:t>
      </w:r>
      <w:hyperlink r:id="rId12" w:history="1">
        <w:r w:rsidR="00D42A96">
          <w:rPr>
            <w:rStyle w:val="Hyperlink"/>
            <w:rFonts w:ascii="Times New Roman" w:hAnsi="Times New Roman" w:cs="Times New Roman"/>
            <w:sz w:val="24"/>
            <w:szCs w:val="24"/>
          </w:rPr>
          <w:t>dem.utah.gov/wp-content/uploads/sites/18/2015/03/RS1058_EERI_SLC_EQ_Scenario.pdf</w:t>
        </w:r>
      </w:hyperlink>
      <w:r>
        <w:rPr>
          <w:rFonts w:ascii="Times New Roman" w:hAnsi="Times New Roman" w:cs="Times New Roman"/>
          <w:sz w:val="24"/>
          <w:szCs w:val="24"/>
        </w:rPr>
        <w:t>.</w:t>
      </w:r>
    </w:p>
    <w:p w14:paraId="40445CB0" w14:textId="5712E2DA" w:rsidR="00585809" w:rsidRDefault="00596D5C" w:rsidP="00DF51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Also, </w:t>
      </w:r>
      <w:r w:rsidR="009C540A">
        <w:rPr>
          <w:rFonts w:ascii="Times New Roman" w:hAnsi="Times New Roman" w:cs="Times New Roman"/>
          <w:sz w:val="24"/>
          <w:szCs w:val="24"/>
        </w:rPr>
        <w:t>EERI Utah</w:t>
      </w:r>
      <w:r w:rsidR="00A60563">
        <w:rPr>
          <w:rFonts w:ascii="Times New Roman" w:hAnsi="Times New Roman" w:cs="Times New Roman"/>
          <w:sz w:val="24"/>
          <w:szCs w:val="24"/>
        </w:rPr>
        <w:t xml:space="preserve"> is conducting a </w:t>
      </w:r>
      <w:r w:rsidR="004B642F" w:rsidRPr="004B642F">
        <w:rPr>
          <w:rFonts w:ascii="Times New Roman" w:hAnsi="Times New Roman" w:cs="Times New Roman"/>
          <w:sz w:val="24"/>
          <w:szCs w:val="24"/>
        </w:rPr>
        <w:t>Utah Earthquake Resiliency Workshop</w:t>
      </w:r>
      <w:r w:rsidR="004B642F">
        <w:rPr>
          <w:rFonts w:ascii="Times New Roman" w:hAnsi="Times New Roman" w:cs="Times New Roman"/>
          <w:sz w:val="24"/>
          <w:szCs w:val="24"/>
        </w:rPr>
        <w:t xml:space="preserve"> (</w:t>
      </w:r>
      <w:hyperlink r:id="rId13" w:history="1">
        <w:r w:rsidR="00D42A96">
          <w:rPr>
            <w:rStyle w:val="Hyperlink"/>
            <w:rFonts w:ascii="Times New Roman" w:hAnsi="Times New Roman" w:cs="Times New Roman"/>
            <w:sz w:val="24"/>
            <w:szCs w:val="24"/>
          </w:rPr>
          <w:t>utah.eeri.org/?p=441</w:t>
        </w:r>
      </w:hyperlink>
      <w:r w:rsidR="004B642F">
        <w:rPr>
          <w:rFonts w:ascii="Times New Roman" w:hAnsi="Times New Roman" w:cs="Times New Roman"/>
          <w:sz w:val="24"/>
          <w:szCs w:val="24"/>
        </w:rPr>
        <w:t>)</w:t>
      </w:r>
      <w:r w:rsidR="00242176">
        <w:rPr>
          <w:rFonts w:ascii="Times New Roman" w:hAnsi="Times New Roman" w:cs="Times New Roman"/>
          <w:sz w:val="24"/>
          <w:szCs w:val="24"/>
        </w:rPr>
        <w:t xml:space="preserve"> on April 27</w:t>
      </w:r>
      <w:r w:rsidR="004B642F" w:rsidRPr="004B642F">
        <w:rPr>
          <w:rFonts w:ascii="Times New Roman" w:hAnsi="Times New Roman" w:cs="Times New Roman"/>
          <w:sz w:val="24"/>
          <w:szCs w:val="24"/>
        </w:rPr>
        <w:t xml:space="preserve"> at the Viridian</w:t>
      </w:r>
      <w:r w:rsidR="004B642F">
        <w:rPr>
          <w:rFonts w:ascii="Times New Roman" w:hAnsi="Times New Roman" w:cs="Times New Roman"/>
          <w:sz w:val="24"/>
          <w:szCs w:val="24"/>
        </w:rPr>
        <w:t xml:space="preserve"> E</w:t>
      </w:r>
      <w:r w:rsidR="00A60563">
        <w:rPr>
          <w:rFonts w:ascii="Times New Roman" w:hAnsi="Times New Roman" w:cs="Times New Roman"/>
          <w:sz w:val="24"/>
          <w:szCs w:val="24"/>
        </w:rPr>
        <w:t>vent Center in West Jordan. This workshop</w:t>
      </w:r>
      <w:r w:rsidR="00412BBA">
        <w:rPr>
          <w:rFonts w:ascii="Times New Roman" w:hAnsi="Times New Roman" w:cs="Times New Roman"/>
          <w:sz w:val="24"/>
          <w:szCs w:val="24"/>
        </w:rPr>
        <w:t xml:space="preserve"> </w:t>
      </w:r>
      <w:r w:rsidR="004B642F" w:rsidRPr="004B642F">
        <w:rPr>
          <w:rFonts w:ascii="Times New Roman" w:hAnsi="Times New Roman" w:cs="Times New Roman"/>
          <w:sz w:val="24"/>
          <w:szCs w:val="24"/>
        </w:rPr>
        <w:t xml:space="preserve">will </w:t>
      </w:r>
      <w:r>
        <w:rPr>
          <w:rFonts w:ascii="Times New Roman" w:hAnsi="Times New Roman" w:cs="Times New Roman"/>
          <w:sz w:val="24"/>
          <w:szCs w:val="24"/>
        </w:rPr>
        <w:t>highlight topics related to improving community recovery after a damaging earthquake</w:t>
      </w:r>
      <w:r w:rsidR="004B642F" w:rsidRPr="004B642F">
        <w:rPr>
          <w:rFonts w:ascii="Times New Roman" w:hAnsi="Times New Roman" w:cs="Times New Roman"/>
          <w:sz w:val="24"/>
          <w:szCs w:val="24"/>
        </w:rPr>
        <w:t xml:space="preserve">. The workshop will </w:t>
      </w:r>
      <w:r w:rsidR="00A60563">
        <w:rPr>
          <w:rFonts w:ascii="Times New Roman" w:hAnsi="Times New Roman" w:cs="Times New Roman"/>
          <w:sz w:val="24"/>
          <w:szCs w:val="24"/>
        </w:rPr>
        <w:t>feature</w:t>
      </w:r>
      <w:r w:rsidR="004B642F" w:rsidRPr="004B642F">
        <w:rPr>
          <w:rFonts w:ascii="Times New Roman" w:hAnsi="Times New Roman" w:cs="Times New Roman"/>
          <w:sz w:val="24"/>
          <w:szCs w:val="24"/>
        </w:rPr>
        <w:t xml:space="preserve"> nationally known experts as keynote speakers with significant background in the field of resilience.</w:t>
      </w:r>
    </w:p>
    <w:p w14:paraId="1DF90020" w14:textId="452D8B4D" w:rsidR="000E6E0D" w:rsidRPr="00DB4FEB" w:rsidRDefault="000E6E0D" w:rsidP="00DF519E">
      <w:pPr>
        <w:spacing w:after="0" w:line="240" w:lineRule="auto"/>
        <w:rPr>
          <w:rFonts w:ascii="Times New Roman" w:hAnsi="Times New Roman" w:cs="Times New Roman"/>
          <w:sz w:val="16"/>
          <w:szCs w:val="16"/>
        </w:rPr>
      </w:pPr>
      <w:r w:rsidRPr="00DB4FEB">
        <w:rPr>
          <w:rFonts w:ascii="Times New Roman" w:hAnsi="Times New Roman" w:cs="Times New Roman"/>
          <w:sz w:val="16"/>
          <w:szCs w:val="16"/>
        </w:rPr>
        <w:t>______________________________________________________________________________</w:t>
      </w:r>
      <w:r w:rsidR="00DB4FEB">
        <w:rPr>
          <w:rFonts w:ascii="Times New Roman" w:hAnsi="Times New Roman" w:cs="Times New Roman"/>
          <w:sz w:val="16"/>
          <w:szCs w:val="16"/>
        </w:rPr>
        <w:t>_______________________________________</w:t>
      </w:r>
    </w:p>
    <w:p w14:paraId="1AE57D8B" w14:textId="77777777" w:rsidR="000E6E0D" w:rsidRPr="00DB4FEB" w:rsidRDefault="000E6E0D" w:rsidP="00D46FC5">
      <w:pPr>
        <w:spacing w:after="0" w:line="240" w:lineRule="auto"/>
        <w:rPr>
          <w:rFonts w:ascii="Times New Roman" w:hAnsi="Times New Roman" w:cs="Times New Roman"/>
          <w:sz w:val="16"/>
          <w:szCs w:val="16"/>
        </w:rPr>
      </w:pPr>
    </w:p>
    <w:p w14:paraId="22AC1B63" w14:textId="629077E0" w:rsidR="00585809" w:rsidRDefault="00242176" w:rsidP="00D42A96">
      <w:pPr>
        <w:spacing w:line="240" w:lineRule="auto"/>
        <w:rPr>
          <w:rFonts w:ascii="Times New Roman" w:hAnsi="Times New Roman" w:cs="Times New Roman"/>
          <w:sz w:val="24"/>
          <w:szCs w:val="24"/>
        </w:rPr>
      </w:pPr>
      <w:r>
        <w:rPr>
          <w:rFonts w:ascii="Times New Roman" w:hAnsi="Times New Roman" w:cs="Times New Roman"/>
          <w:sz w:val="24"/>
          <w:szCs w:val="24"/>
        </w:rPr>
        <w:t xml:space="preserve">Utah Geological Survey Miscellaneous Publication 16-3, </w:t>
      </w:r>
      <w:r w:rsidRPr="004B642F">
        <w:rPr>
          <w:rFonts w:ascii="Times New Roman" w:hAnsi="Times New Roman" w:cs="Times New Roman"/>
          <w:i/>
          <w:sz w:val="24"/>
          <w:szCs w:val="24"/>
        </w:rPr>
        <w:t>Earthquake Probabilities for the Wasatch Front Region in Utah, Idaho, and Wyoming</w:t>
      </w:r>
      <w:r w:rsidR="00756AE8">
        <w:rPr>
          <w:rFonts w:ascii="Times New Roman" w:hAnsi="Times New Roman" w:cs="Times New Roman"/>
          <w:sz w:val="24"/>
          <w:szCs w:val="24"/>
        </w:rPr>
        <w:t>,</w:t>
      </w:r>
      <w:r>
        <w:rPr>
          <w:rFonts w:ascii="Times New Roman" w:hAnsi="Times New Roman" w:cs="Times New Roman"/>
          <w:i/>
          <w:sz w:val="24"/>
          <w:szCs w:val="24"/>
        </w:rPr>
        <w:t xml:space="preserve"> </w:t>
      </w:r>
      <w:r w:rsidR="008E7CDD">
        <w:rPr>
          <w:rFonts w:ascii="Times New Roman" w:hAnsi="Times New Roman" w:cs="Times New Roman"/>
          <w:sz w:val="24"/>
          <w:szCs w:val="24"/>
        </w:rPr>
        <w:t>is expected</w:t>
      </w:r>
      <w:r w:rsidR="00620318">
        <w:rPr>
          <w:rFonts w:ascii="Times New Roman" w:hAnsi="Times New Roman" w:cs="Times New Roman"/>
          <w:sz w:val="24"/>
          <w:szCs w:val="24"/>
        </w:rPr>
        <w:t xml:space="preserve"> to be</w:t>
      </w:r>
      <w:r w:rsidR="008E7CDD">
        <w:rPr>
          <w:rFonts w:ascii="Times New Roman" w:hAnsi="Times New Roman" w:cs="Times New Roman"/>
          <w:sz w:val="24"/>
          <w:szCs w:val="24"/>
        </w:rPr>
        <w:t xml:space="preserve"> release</w:t>
      </w:r>
      <w:r w:rsidR="00620318">
        <w:rPr>
          <w:rFonts w:ascii="Times New Roman" w:hAnsi="Times New Roman" w:cs="Times New Roman"/>
          <w:sz w:val="24"/>
          <w:szCs w:val="24"/>
        </w:rPr>
        <w:t>d in early May and</w:t>
      </w:r>
      <w:r w:rsidR="008E7CDD">
        <w:rPr>
          <w:rFonts w:ascii="Times New Roman" w:hAnsi="Times New Roman" w:cs="Times New Roman"/>
          <w:sz w:val="24"/>
          <w:szCs w:val="24"/>
        </w:rPr>
        <w:t xml:space="preserve"> will be available </w:t>
      </w:r>
      <w:r w:rsidR="00D46FC5">
        <w:rPr>
          <w:rFonts w:ascii="Times New Roman" w:hAnsi="Times New Roman" w:cs="Times New Roman"/>
          <w:sz w:val="24"/>
          <w:szCs w:val="24"/>
        </w:rPr>
        <w:t xml:space="preserve">for purchase from </w:t>
      </w:r>
      <w:r w:rsidR="00D46FC5" w:rsidRPr="00E31AB1">
        <w:rPr>
          <w:rFonts w:ascii="Times New Roman" w:hAnsi="Times New Roman" w:cs="Times New Roman"/>
          <w:sz w:val="24"/>
          <w:szCs w:val="24"/>
        </w:rPr>
        <w:t xml:space="preserve">the Utah Department of Natural Resources Map and Bookstore, 1-888-UTAHMAP, </w:t>
      </w:r>
      <w:hyperlink r:id="rId14" w:history="1">
        <w:r w:rsidR="009C540A">
          <w:rPr>
            <w:rStyle w:val="Hyperlink"/>
            <w:rFonts w:ascii="Times New Roman" w:hAnsi="Times New Roman" w:cs="Times New Roman"/>
            <w:sz w:val="24"/>
            <w:szCs w:val="24"/>
          </w:rPr>
          <w:t>www.mapstore.utah.gov</w:t>
        </w:r>
      </w:hyperlink>
      <w:r w:rsidR="00D46FC5" w:rsidRPr="00E31AB1">
        <w:rPr>
          <w:rFonts w:ascii="Times New Roman" w:hAnsi="Times New Roman" w:cs="Times New Roman"/>
          <w:sz w:val="24"/>
          <w:szCs w:val="24"/>
        </w:rPr>
        <w:t>.</w:t>
      </w:r>
      <w:r w:rsidR="00D46FC5">
        <w:rPr>
          <w:rFonts w:ascii="Times New Roman" w:hAnsi="Times New Roman" w:cs="Times New Roman"/>
          <w:sz w:val="24"/>
          <w:szCs w:val="24"/>
        </w:rPr>
        <w:t xml:space="preserve"> A PDF</w:t>
      </w:r>
      <w:r w:rsidR="00D46FC5" w:rsidRPr="00DF519E">
        <w:rPr>
          <w:rFonts w:ascii="Times New Roman" w:hAnsi="Times New Roman" w:cs="Times New Roman"/>
          <w:sz w:val="24"/>
          <w:szCs w:val="24"/>
        </w:rPr>
        <w:t xml:space="preserve"> </w:t>
      </w:r>
      <w:r w:rsidR="00951E27">
        <w:rPr>
          <w:rFonts w:ascii="Times New Roman" w:hAnsi="Times New Roman" w:cs="Times New Roman"/>
          <w:sz w:val="24"/>
          <w:szCs w:val="24"/>
        </w:rPr>
        <w:t>will be viewable</w:t>
      </w:r>
      <w:r w:rsidR="00756AE8">
        <w:rPr>
          <w:rFonts w:ascii="Times New Roman" w:hAnsi="Times New Roman" w:cs="Times New Roman"/>
          <w:sz w:val="24"/>
          <w:szCs w:val="24"/>
        </w:rPr>
        <w:t xml:space="preserve"> on the UGS website</w:t>
      </w:r>
      <w:r w:rsidR="001334A4">
        <w:rPr>
          <w:rFonts w:ascii="Times New Roman" w:hAnsi="Times New Roman" w:cs="Times New Roman"/>
          <w:sz w:val="24"/>
          <w:szCs w:val="24"/>
        </w:rPr>
        <w:t xml:space="preserve"> at</w:t>
      </w:r>
      <w:r w:rsidR="00D46FC5" w:rsidRPr="00DF519E">
        <w:rPr>
          <w:rFonts w:ascii="Times New Roman" w:hAnsi="Times New Roman" w:cs="Times New Roman"/>
          <w:sz w:val="24"/>
          <w:szCs w:val="24"/>
        </w:rPr>
        <w:t xml:space="preserve"> </w:t>
      </w:r>
      <w:hyperlink r:id="rId15" w:history="1">
        <w:r w:rsidR="009C540A">
          <w:rPr>
            <w:rStyle w:val="Hyperlink"/>
            <w:rFonts w:ascii="Times New Roman" w:hAnsi="Times New Roman" w:cs="Times New Roman"/>
            <w:sz w:val="24"/>
            <w:szCs w:val="24"/>
          </w:rPr>
          <w:t>geology.utah.gov</w:t>
        </w:r>
      </w:hyperlink>
      <w:r w:rsidR="00D46FC5" w:rsidRPr="00DF519E">
        <w:rPr>
          <w:rFonts w:ascii="Times New Roman" w:hAnsi="Times New Roman" w:cs="Times New Roman"/>
          <w:sz w:val="24"/>
          <w:szCs w:val="24"/>
        </w:rPr>
        <w:t>.</w:t>
      </w:r>
      <w:r w:rsidR="00D46FC5">
        <w:rPr>
          <w:rFonts w:ascii="Times New Roman" w:hAnsi="Times New Roman" w:cs="Times New Roman"/>
          <w:sz w:val="24"/>
          <w:szCs w:val="24"/>
        </w:rPr>
        <w:t xml:space="preserve"> </w:t>
      </w:r>
      <w:r w:rsidR="00756AE8">
        <w:rPr>
          <w:rFonts w:ascii="Times New Roman" w:hAnsi="Times New Roman" w:cs="Times New Roman"/>
          <w:sz w:val="24"/>
          <w:szCs w:val="24"/>
        </w:rPr>
        <w:t>This research</w:t>
      </w:r>
      <w:r w:rsidR="00951E27">
        <w:rPr>
          <w:rFonts w:ascii="Times New Roman" w:hAnsi="Times New Roman" w:cs="Times New Roman"/>
          <w:sz w:val="24"/>
          <w:szCs w:val="24"/>
        </w:rPr>
        <w:t xml:space="preserve"> was </w:t>
      </w:r>
      <w:r w:rsidR="00756AE8">
        <w:rPr>
          <w:rFonts w:ascii="Times New Roman" w:hAnsi="Times New Roman" w:cs="Times New Roman"/>
          <w:sz w:val="24"/>
          <w:szCs w:val="24"/>
        </w:rPr>
        <w:t>funded</w:t>
      </w:r>
      <w:r w:rsidR="00951E27">
        <w:rPr>
          <w:rFonts w:ascii="Times New Roman" w:hAnsi="Times New Roman" w:cs="Times New Roman"/>
          <w:sz w:val="24"/>
          <w:szCs w:val="24"/>
        </w:rPr>
        <w:t xml:space="preserve"> by grants from</w:t>
      </w:r>
      <w:r>
        <w:rPr>
          <w:rFonts w:ascii="Times New Roman" w:hAnsi="Times New Roman" w:cs="Times New Roman"/>
          <w:sz w:val="24"/>
          <w:szCs w:val="24"/>
        </w:rPr>
        <w:t xml:space="preserve"> the </w:t>
      </w:r>
      <w:r w:rsidR="00951E27">
        <w:rPr>
          <w:rFonts w:ascii="Times New Roman" w:hAnsi="Times New Roman" w:cs="Times New Roman"/>
          <w:sz w:val="24"/>
          <w:szCs w:val="24"/>
        </w:rPr>
        <w:t xml:space="preserve">USGS National Earthquake Hazards Reduction Program with additional support from the Utah Geological Survey and URS Corporation. </w:t>
      </w:r>
      <w:r w:rsidR="006818AE">
        <w:rPr>
          <w:rFonts w:ascii="Times New Roman" w:hAnsi="Times New Roman" w:cs="Times New Roman"/>
          <w:sz w:val="24"/>
          <w:szCs w:val="24"/>
        </w:rPr>
        <w:t>The Utah Geological Survey,</w:t>
      </w:r>
      <w:r w:rsidR="00A61691" w:rsidRPr="00A61691">
        <w:rPr>
          <w:rFonts w:ascii="Times New Roman" w:hAnsi="Times New Roman" w:cs="Times New Roman"/>
          <w:sz w:val="24"/>
          <w:szCs w:val="24"/>
        </w:rPr>
        <w:t xml:space="preserve"> a division of the Utah Department</w:t>
      </w:r>
      <w:r w:rsidR="006818AE">
        <w:rPr>
          <w:rFonts w:ascii="Times New Roman" w:hAnsi="Times New Roman" w:cs="Times New Roman"/>
          <w:sz w:val="24"/>
          <w:szCs w:val="24"/>
        </w:rPr>
        <w:t xml:space="preserve"> of Natural Resources, provides</w:t>
      </w:r>
      <w:r w:rsidR="00A61691" w:rsidRPr="00A61691">
        <w:rPr>
          <w:rFonts w:ascii="Times New Roman" w:hAnsi="Times New Roman" w:cs="Times New Roman"/>
          <w:sz w:val="24"/>
          <w:szCs w:val="24"/>
        </w:rPr>
        <w:t xml:space="preserve"> timely scientific information about Utah’s geologic environment, resources, and hazards</w:t>
      </w:r>
      <w:r w:rsidR="00A61691">
        <w:rPr>
          <w:rFonts w:ascii="Times New Roman" w:hAnsi="Times New Roman" w:cs="Times New Roman"/>
          <w:sz w:val="24"/>
          <w:szCs w:val="24"/>
        </w:rPr>
        <w:t>.</w:t>
      </w:r>
    </w:p>
    <w:p w14:paraId="7EB2188B" w14:textId="09E97B86" w:rsidR="00CB7C9E" w:rsidRPr="00DF519E" w:rsidRDefault="00585809" w:rsidP="00D42A96">
      <w:pPr>
        <w:spacing w:line="240" w:lineRule="auto"/>
        <w:rPr>
          <w:rFonts w:ascii="Times New Roman" w:hAnsi="Times New Roman" w:cs="Times New Roman"/>
          <w:sz w:val="24"/>
          <w:szCs w:val="24"/>
        </w:rPr>
      </w:pPr>
      <w:r>
        <w:rPr>
          <w:rFonts w:ascii="Times New Roman" w:hAnsi="Times New Roman" w:cs="Times New Roman"/>
          <w:sz w:val="24"/>
          <w:szCs w:val="24"/>
        </w:rPr>
        <w:t xml:space="preserve">The U.S. Geological Survey has produced a non-technical summary of the full earthquake probabilities report. USGS Fact </w:t>
      </w:r>
      <w:r w:rsidR="001D43AA">
        <w:rPr>
          <w:rFonts w:ascii="Times New Roman" w:hAnsi="Times New Roman" w:cs="Times New Roman"/>
          <w:sz w:val="24"/>
          <w:szCs w:val="24"/>
        </w:rPr>
        <w:t xml:space="preserve">Sheet 2016-3019 is available at </w:t>
      </w:r>
      <w:hyperlink r:id="rId16" w:history="1">
        <w:r w:rsidR="00DB4FEB">
          <w:rPr>
            <w:rStyle w:val="Hyperlink"/>
            <w:rFonts w:ascii="Times New Roman" w:hAnsi="Times New Roman" w:cs="Times New Roman"/>
            <w:sz w:val="24"/>
            <w:szCs w:val="24"/>
          </w:rPr>
          <w:t>pubs.er.usgs.gov/publication/fs20163019</w:t>
        </w:r>
      </w:hyperlink>
      <w:r>
        <w:rPr>
          <w:rFonts w:ascii="Times New Roman" w:hAnsi="Times New Roman" w:cs="Times New Roman"/>
          <w:sz w:val="24"/>
          <w:szCs w:val="24"/>
        </w:rPr>
        <w:t>.</w:t>
      </w:r>
    </w:p>
    <w:p w14:paraId="426715A7" w14:textId="4F9B07E4" w:rsidR="00CB7C9E" w:rsidRDefault="00CB7C9E" w:rsidP="00D42A96">
      <w:pPr>
        <w:spacing w:line="240" w:lineRule="auto"/>
        <w:rPr>
          <w:rFonts w:ascii="Times New Roman" w:hAnsi="Times New Roman" w:cs="Times New Roman"/>
          <w:sz w:val="24"/>
          <w:szCs w:val="24"/>
        </w:rPr>
        <w:sectPr w:rsidR="00CB7C9E" w:rsidSect="00F85554">
          <w:footerReference w:type="default" r:id="rId17"/>
          <w:pgSz w:w="12240" w:h="15840"/>
          <w:pgMar w:top="1440" w:right="1440" w:bottom="1440" w:left="1440" w:header="720" w:footer="576" w:gutter="0"/>
          <w:cols w:space="720"/>
          <w:docGrid w:linePitch="360"/>
        </w:sectPr>
      </w:pPr>
      <w:r w:rsidRPr="00CB7C9E">
        <w:rPr>
          <w:rFonts w:ascii="Times New Roman" w:hAnsi="Times New Roman" w:cs="Times New Roman"/>
          <w:sz w:val="24"/>
          <w:szCs w:val="24"/>
        </w:rPr>
        <w:t xml:space="preserve">For more information about </w:t>
      </w:r>
      <w:r w:rsidR="003B50AA">
        <w:rPr>
          <w:rFonts w:ascii="Times New Roman" w:hAnsi="Times New Roman" w:cs="Times New Roman"/>
          <w:sz w:val="24"/>
          <w:szCs w:val="24"/>
        </w:rPr>
        <w:t>the Wasatch Front earthquake forecast</w:t>
      </w:r>
      <w:r w:rsidRPr="00CB7C9E">
        <w:rPr>
          <w:rFonts w:ascii="Times New Roman" w:hAnsi="Times New Roman" w:cs="Times New Roman"/>
          <w:sz w:val="24"/>
          <w:szCs w:val="24"/>
        </w:rPr>
        <w:t>, please contact:</w:t>
      </w:r>
    </w:p>
    <w:p w14:paraId="07B68DF3" w14:textId="77777777" w:rsidR="00CB7C9E" w:rsidRPr="00CB7C9E" w:rsidRDefault="00CB7C9E" w:rsidP="00CB7C9E">
      <w:pPr>
        <w:spacing w:after="0" w:line="240" w:lineRule="auto"/>
        <w:rPr>
          <w:rFonts w:ascii="Times New Roman" w:hAnsi="Times New Roman" w:cs="Times New Roman"/>
          <w:sz w:val="24"/>
          <w:szCs w:val="24"/>
        </w:rPr>
      </w:pPr>
      <w:r w:rsidRPr="00CB7C9E">
        <w:rPr>
          <w:rFonts w:ascii="Times New Roman" w:hAnsi="Times New Roman" w:cs="Times New Roman"/>
          <w:sz w:val="24"/>
          <w:szCs w:val="24"/>
        </w:rPr>
        <w:lastRenderedPageBreak/>
        <w:t>Ivan Wong</w:t>
      </w:r>
    </w:p>
    <w:p w14:paraId="7DBF5D54" w14:textId="77777777" w:rsidR="004723BD" w:rsidRDefault="00CB7C9E" w:rsidP="00CB7C9E">
      <w:pPr>
        <w:spacing w:after="0" w:line="240" w:lineRule="auto"/>
        <w:rPr>
          <w:rFonts w:ascii="Times New Roman" w:hAnsi="Times New Roman" w:cs="Times New Roman"/>
          <w:sz w:val="24"/>
          <w:szCs w:val="24"/>
        </w:rPr>
      </w:pPr>
      <w:proofErr w:type="spellStart"/>
      <w:r w:rsidRPr="00CB7C9E">
        <w:rPr>
          <w:rFonts w:ascii="Times New Roman" w:hAnsi="Times New Roman" w:cs="Times New Roman"/>
          <w:sz w:val="24"/>
          <w:szCs w:val="24"/>
        </w:rPr>
        <w:t>Lettis</w:t>
      </w:r>
      <w:proofErr w:type="spellEnd"/>
      <w:r w:rsidRPr="00CB7C9E">
        <w:rPr>
          <w:rFonts w:ascii="Times New Roman" w:hAnsi="Times New Roman" w:cs="Times New Roman"/>
          <w:sz w:val="24"/>
          <w:szCs w:val="24"/>
        </w:rPr>
        <w:t xml:space="preserve"> Consultants International, Inc.</w:t>
      </w:r>
    </w:p>
    <w:p w14:paraId="0B8D54CE" w14:textId="316C5FA5" w:rsidR="00CB7C9E" w:rsidRPr="00CB7C9E" w:rsidRDefault="00CB7C9E" w:rsidP="00CB7C9E">
      <w:pPr>
        <w:spacing w:after="0" w:line="240" w:lineRule="auto"/>
        <w:rPr>
          <w:rFonts w:ascii="Times New Roman" w:hAnsi="Times New Roman" w:cs="Times New Roman"/>
          <w:sz w:val="24"/>
          <w:szCs w:val="24"/>
        </w:rPr>
      </w:pPr>
      <w:r w:rsidRPr="00CB7C9E">
        <w:rPr>
          <w:rFonts w:ascii="Times New Roman" w:hAnsi="Times New Roman" w:cs="Times New Roman"/>
          <w:sz w:val="24"/>
          <w:szCs w:val="24"/>
        </w:rPr>
        <w:t>(925) 482-0360</w:t>
      </w:r>
    </w:p>
    <w:p w14:paraId="0CE66A02" w14:textId="4BE9025C" w:rsidR="00F85554" w:rsidRPr="004723BD" w:rsidRDefault="00DB4FEB" w:rsidP="00D46FC5">
      <w:pPr>
        <w:spacing w:after="0" w:line="240" w:lineRule="auto"/>
        <w:rPr>
          <w:rFonts w:ascii="Times New Roman" w:hAnsi="Times New Roman" w:cs="Times New Roman"/>
          <w:color w:val="000000" w:themeColor="text1"/>
          <w:sz w:val="24"/>
          <w:szCs w:val="24"/>
        </w:rPr>
        <w:sectPr w:rsidR="00F85554" w:rsidRPr="004723BD" w:rsidSect="004723BD">
          <w:type w:val="continuous"/>
          <w:pgSz w:w="12240" w:h="15840"/>
          <w:pgMar w:top="1440" w:right="1440" w:bottom="1440" w:left="1440" w:header="720" w:footer="576" w:gutter="0"/>
          <w:cols w:space="432"/>
          <w:docGrid w:linePitch="360"/>
        </w:sectPr>
      </w:pPr>
      <w:hyperlink r:id="rId18" w:history="1">
        <w:r w:rsidR="00CB7C9E" w:rsidRPr="004723BD">
          <w:rPr>
            <w:rStyle w:val="Hyperlink"/>
            <w:rFonts w:ascii="Times New Roman" w:hAnsi="Times New Roman" w:cs="Times New Roman"/>
            <w:color w:val="000000" w:themeColor="text1"/>
            <w:sz w:val="24"/>
            <w:szCs w:val="24"/>
            <w:u w:val="none"/>
          </w:rPr>
          <w:t>wong@lettisci.com</w:t>
        </w:r>
      </w:hyperlink>
    </w:p>
    <w:p w14:paraId="7D7DA6DF" w14:textId="77777777" w:rsidR="004723BD" w:rsidRDefault="004723BD" w:rsidP="00DA6767">
      <w:pPr>
        <w:tabs>
          <w:tab w:val="left" w:pos="2427"/>
          <w:tab w:val="left" w:pos="3795"/>
          <w:tab w:val="center" w:pos="4680"/>
        </w:tabs>
        <w:spacing w:after="0"/>
        <w:rPr>
          <w:rFonts w:ascii="Times New Roman" w:hAnsi="Times New Roman" w:cs="Times New Roman"/>
          <w:sz w:val="24"/>
          <w:szCs w:val="24"/>
        </w:rPr>
        <w:sectPr w:rsidR="004723BD" w:rsidSect="004723BD">
          <w:footerReference w:type="default" r:id="rId19"/>
          <w:type w:val="continuous"/>
          <w:pgSz w:w="12240" w:h="15840"/>
          <w:pgMar w:top="720" w:right="720" w:bottom="720" w:left="720" w:header="720" w:footer="576" w:gutter="0"/>
          <w:cols w:space="720"/>
          <w:docGrid w:linePitch="360"/>
        </w:sectPr>
      </w:pPr>
    </w:p>
    <w:p w14:paraId="5144478C" w14:textId="77777777" w:rsidR="00B56D82" w:rsidRDefault="00D12F5F" w:rsidP="00DA6767">
      <w:pPr>
        <w:tabs>
          <w:tab w:val="left" w:pos="2427"/>
          <w:tab w:val="left" w:pos="3795"/>
          <w:tab w:val="center" w:pos="4680"/>
        </w:tabs>
        <w:spacing w:after="0"/>
        <w:rPr>
          <w:rFonts w:ascii="Times New Roman" w:hAnsi="Times New Roman" w:cs="Times New Roman"/>
          <w:sz w:val="24"/>
          <w:szCs w:val="24"/>
        </w:rPr>
        <w:sectPr w:rsidR="00B56D82" w:rsidSect="00B56D82">
          <w:type w:val="continuous"/>
          <w:pgSz w:w="12240" w:h="15840"/>
          <w:pgMar w:top="1440" w:right="1440" w:bottom="1440" w:left="1440" w:header="720" w:footer="576" w:gutter="0"/>
          <w:cols w:space="720"/>
          <w:docGrid w:linePitch="360"/>
        </w:sectPr>
      </w:pPr>
      <w:r>
        <w:rPr>
          <w:rFonts w:ascii="Times New Roman" w:hAnsi="Times New Roman" w:cs="Times New Roman"/>
          <w:sz w:val="24"/>
          <w:szCs w:val="24"/>
        </w:rPr>
        <w:lastRenderedPageBreak/>
        <w:t xml:space="preserve">  </w:t>
      </w:r>
    </w:p>
    <w:p w14:paraId="314C074E" w14:textId="12C601EB" w:rsidR="00846619" w:rsidRDefault="00846619" w:rsidP="00DA6767">
      <w:pPr>
        <w:tabs>
          <w:tab w:val="left" w:pos="2427"/>
          <w:tab w:val="left" w:pos="3795"/>
          <w:tab w:val="center" w:pos="4680"/>
        </w:tabs>
        <w:spacing w:after="0"/>
        <w:rPr>
          <w:rFonts w:ascii="Times New Roman" w:hAnsi="Times New Roman" w:cs="Times New Roman"/>
          <w:sz w:val="24"/>
          <w:szCs w:val="24"/>
        </w:rPr>
      </w:pPr>
    </w:p>
    <w:p w14:paraId="4CBF206D" w14:textId="1E63A0A6" w:rsidR="004723BD" w:rsidRDefault="00B56D82" w:rsidP="00DA6767">
      <w:pPr>
        <w:tabs>
          <w:tab w:val="left" w:pos="2427"/>
          <w:tab w:val="left" w:pos="3795"/>
          <w:tab w:val="center" w:pos="4680"/>
        </w:tabs>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6B403CC8" wp14:editId="45E3DAEC">
            <wp:simplePos x="0" y="0"/>
            <wp:positionH relativeFrom="column">
              <wp:posOffset>3378837</wp:posOffset>
            </wp:positionH>
            <wp:positionV relativeFrom="paragraph">
              <wp:posOffset>117474</wp:posOffset>
            </wp:positionV>
            <wp:extent cx="3634103" cy="5895975"/>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0988" cy="5939593"/>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58240" behindDoc="1" locked="0" layoutInCell="1" allowOverlap="1" wp14:anchorId="56C4401F" wp14:editId="6F16C9BB">
            <wp:simplePos x="0" y="0"/>
            <wp:positionH relativeFrom="column">
              <wp:posOffset>228600</wp:posOffset>
            </wp:positionH>
            <wp:positionV relativeFrom="paragraph">
              <wp:posOffset>203201</wp:posOffset>
            </wp:positionV>
            <wp:extent cx="3088366" cy="4000500"/>
            <wp:effectExtent l="0" t="0" r="0" b="0"/>
            <wp:wrapNone/>
            <wp:docPr id="22" name="Picture 22" descr="H:\EQ Probablilities\MP-16-3 Earthquake Probability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Q Probablilities\MP-16-3 Earthquake Probability cov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5335" cy="40095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16273" w14:textId="413F07D0"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4CEAADAB" w14:textId="23C30398"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6215556E" w14:textId="3A111B4A"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677B54C5" w14:textId="587D8041"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016FF46B" w14:textId="6859C40B"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3F006119" w14:textId="7861A741"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0C99C6B7" w14:textId="6FBD7100"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02691621" w14:textId="43BF519B"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14829395" w14:textId="1EF01E8A"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70647952" w14:textId="2BFBA35F"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598F267D" w14:textId="78C7FEE5"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63C4723C" w14:textId="46B754E5"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025F4610" w14:textId="404CFF92"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1C0F7442" w14:textId="315D837F"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17EBD469" w14:textId="12C9C709"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4D406EC0" w14:textId="03B9ACBE"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3BE594D7" w14:textId="576D9B74"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718BD4D1" w14:textId="4835B779"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1C705887" w14:textId="50543F63"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1D00FD99" w14:textId="50985CB2"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4A0DA628" w14:textId="701EF23A"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08AC22A1" w14:textId="2F829905"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4EB922A6" w14:textId="63B90B17"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2F7321EF" w14:textId="7F8EBB42"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6EE98951" w14:textId="23B38666"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7B29782E" w14:textId="77777777"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00F483D0" w14:textId="77777777"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3F7162DB" w14:textId="77777777"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40FADF8B" w14:textId="77777777" w:rsidR="00B56D82" w:rsidRDefault="00B56D82" w:rsidP="00DA6767">
      <w:pPr>
        <w:tabs>
          <w:tab w:val="left" w:pos="2427"/>
          <w:tab w:val="left" w:pos="3795"/>
          <w:tab w:val="center" w:pos="4680"/>
        </w:tabs>
        <w:spacing w:after="0"/>
        <w:rPr>
          <w:rFonts w:ascii="Times New Roman" w:hAnsi="Times New Roman" w:cs="Times New Roman"/>
          <w:sz w:val="24"/>
          <w:szCs w:val="24"/>
        </w:rPr>
      </w:pPr>
    </w:p>
    <w:p w14:paraId="3F810CCF" w14:textId="1BF6DCE8" w:rsidR="00B56D82" w:rsidRPr="00DB4FEB" w:rsidRDefault="00DB4FEB" w:rsidP="00DA6767">
      <w:pPr>
        <w:tabs>
          <w:tab w:val="left" w:pos="2427"/>
          <w:tab w:val="left" w:pos="3795"/>
          <w:tab w:val="center" w:pos="4680"/>
        </w:tabs>
        <w:spacing w:after="0"/>
        <w:rPr>
          <w:rFonts w:ascii="Times New Roman" w:hAnsi="Times New Roman" w:cs="Times New Roman"/>
          <w:i/>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B4FEB">
        <w:rPr>
          <w:rFonts w:ascii="Times New Roman" w:hAnsi="Times New Roman" w:cs="Times New Roman"/>
          <w:i/>
        </w:rPr>
        <w:t>Map from USGS Fact Sheet 2016-3019</w:t>
      </w:r>
    </w:p>
    <w:p w14:paraId="7F45F132" w14:textId="77777777" w:rsidR="00DB4FEB" w:rsidRDefault="00DB4FEB" w:rsidP="00DA6767">
      <w:pPr>
        <w:tabs>
          <w:tab w:val="left" w:pos="2427"/>
          <w:tab w:val="left" w:pos="3795"/>
          <w:tab w:val="center" w:pos="4680"/>
        </w:tabs>
        <w:spacing w:after="0"/>
        <w:rPr>
          <w:rFonts w:ascii="Times New Roman" w:hAnsi="Times New Roman" w:cs="Times New Roman"/>
          <w:sz w:val="24"/>
          <w:szCs w:val="24"/>
        </w:rPr>
      </w:pPr>
    </w:p>
    <w:p w14:paraId="735EB155" w14:textId="7BF6A0BA" w:rsidR="00B56D82" w:rsidRDefault="00B56D82" w:rsidP="00B56D82">
      <w:pPr>
        <w:tabs>
          <w:tab w:val="left" w:pos="2427"/>
          <w:tab w:val="left" w:pos="3795"/>
          <w:tab w:val="center" w:pos="4680"/>
        </w:tabs>
        <w:spacing w:after="0"/>
        <w:jc w:val="center"/>
        <w:rPr>
          <w:rFonts w:ascii="Times New Roman" w:hAnsi="Times New Roman" w:cs="Times New Roman"/>
          <w:sz w:val="24"/>
          <w:szCs w:val="24"/>
        </w:rPr>
      </w:pPr>
      <w:r w:rsidRPr="00B56D82">
        <w:rPr>
          <w:rFonts w:ascii="Times New Roman" w:hAnsi="Times New Roman" w:cs="Times New Roman"/>
          <w:sz w:val="24"/>
          <w:szCs w:val="24"/>
        </w:rPr>
        <w:t># # #</w:t>
      </w:r>
    </w:p>
    <w:sectPr w:rsidR="00B56D82" w:rsidSect="00F85554">
      <w:type w:val="continuous"/>
      <w:pgSz w:w="12240" w:h="15840"/>
      <w:pgMar w:top="720" w:right="720" w:bottom="720" w:left="72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107D3" w14:textId="77777777" w:rsidR="00BA1341" w:rsidRDefault="00BA1341" w:rsidP="007861E2">
      <w:pPr>
        <w:spacing w:after="0" w:line="240" w:lineRule="auto"/>
      </w:pPr>
      <w:r>
        <w:separator/>
      </w:r>
    </w:p>
  </w:endnote>
  <w:endnote w:type="continuationSeparator" w:id="0">
    <w:p w14:paraId="5500AF7D" w14:textId="77777777" w:rsidR="00BA1341" w:rsidRDefault="00BA1341" w:rsidP="00786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19B2D" w14:textId="77777777" w:rsidR="00A075D6" w:rsidRDefault="00A075D6" w:rsidP="00B61186">
    <w:pPr>
      <w:shd w:val="clear" w:color="auto" w:fill="FFFFFF" w:themeFill="background1"/>
      <w:tabs>
        <w:tab w:val="center" w:pos="4680"/>
        <w:tab w:val="left" w:pos="8146"/>
      </w:tabs>
      <w:spacing w:line="240" w:lineRule="auto"/>
      <w:rPr>
        <w:color w:val="CC9900"/>
      </w:rPr>
    </w:pPr>
    <w:r>
      <w:rPr>
        <w:noProof/>
      </w:rPr>
      <w:drawing>
        <wp:anchor distT="0" distB="0" distL="114300" distR="114300" simplePos="0" relativeHeight="251684864" behindDoc="0" locked="0" layoutInCell="1" allowOverlap="1" wp14:anchorId="1287FD01" wp14:editId="0601CF6E">
          <wp:simplePos x="0" y="0"/>
          <wp:positionH relativeFrom="column">
            <wp:posOffset>1684020</wp:posOffset>
          </wp:positionH>
          <wp:positionV relativeFrom="paragraph">
            <wp:posOffset>-33020</wp:posOffset>
          </wp:positionV>
          <wp:extent cx="287655" cy="326390"/>
          <wp:effectExtent l="19050" t="0" r="0" b="0"/>
          <wp:wrapThrough wrapText="bothSides">
            <wp:wrapPolygon edited="0">
              <wp:start x="-1430" y="0"/>
              <wp:lineTo x="-1430" y="20171"/>
              <wp:lineTo x="21457" y="20171"/>
              <wp:lineTo x="21457" y="0"/>
              <wp:lineTo x="-1430" y="0"/>
            </wp:wrapPolygon>
          </wp:wrapThrough>
          <wp:docPr id="40" name="Picture 40" descr="C:\Users\janettelucero\AppData\Local\Microsoft\Windows\Temporary Internet Files\Content.Word\Copy of High resolut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ettelucero\AppData\Local\Microsoft\Windows\Temporary Internet Files\Content.Word\Copy of High resolution logo.jpg"/>
                  <pic:cNvPicPr>
                    <a:picLocks noChangeAspect="1" noChangeArrowheads="1"/>
                  </pic:cNvPicPr>
                </pic:nvPicPr>
                <pic:blipFill>
                  <a:blip r:embed="rId1"/>
                  <a:srcRect/>
                  <a:stretch>
                    <a:fillRect/>
                  </a:stretch>
                </pic:blipFill>
                <pic:spPr bwMode="auto">
                  <a:xfrm>
                    <a:off x="0" y="0"/>
                    <a:ext cx="287655" cy="326390"/>
                  </a:xfrm>
                  <a:prstGeom prst="rect">
                    <a:avLst/>
                  </a:prstGeom>
                  <a:noFill/>
                  <a:ln w="9525">
                    <a:noFill/>
                    <a:miter lim="800000"/>
                    <a:headEnd/>
                    <a:tailEnd/>
                  </a:ln>
                </pic:spPr>
              </pic:pic>
            </a:graphicData>
          </a:graphic>
        </wp:anchor>
      </w:drawing>
    </w:r>
    <w:r>
      <w:rPr>
        <w:noProof/>
      </w:rPr>
      <w:drawing>
        <wp:anchor distT="0" distB="0" distL="114300" distR="114300" simplePos="0" relativeHeight="251685888" behindDoc="0" locked="0" layoutInCell="1" allowOverlap="1" wp14:anchorId="0E7F6E0E" wp14:editId="49ADC050">
          <wp:simplePos x="0" y="0"/>
          <wp:positionH relativeFrom="column">
            <wp:posOffset>2063115</wp:posOffset>
          </wp:positionH>
          <wp:positionV relativeFrom="paragraph">
            <wp:posOffset>-33020</wp:posOffset>
          </wp:positionV>
          <wp:extent cx="287655" cy="326390"/>
          <wp:effectExtent l="19050" t="0" r="0" b="0"/>
          <wp:wrapThrough wrapText="bothSides">
            <wp:wrapPolygon edited="0">
              <wp:start x="-1430" y="0"/>
              <wp:lineTo x="-1430" y="20171"/>
              <wp:lineTo x="21457" y="20171"/>
              <wp:lineTo x="21457" y="0"/>
              <wp:lineTo x="-1430" y="0"/>
            </wp:wrapPolygon>
          </wp:wrapThrough>
          <wp:docPr id="41" name="Picture 41" descr="C:\Users\janettelucero\AppData\Local\Microsoft\Windows\Temporary Internet Files\Content.Word\Logo - 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nettelucero\AppData\Local\Microsoft\Windows\Temporary Internet Files\Content.Word\Logo - UGS.JPG"/>
                  <pic:cNvPicPr>
                    <a:picLocks noChangeAspect="1" noChangeArrowheads="1"/>
                  </pic:cNvPicPr>
                </pic:nvPicPr>
                <pic:blipFill>
                  <a:blip r:embed="rId2"/>
                  <a:srcRect/>
                  <a:stretch>
                    <a:fillRect/>
                  </a:stretch>
                </pic:blipFill>
                <pic:spPr bwMode="auto">
                  <a:xfrm>
                    <a:off x="0" y="0"/>
                    <a:ext cx="287655" cy="326390"/>
                  </a:xfrm>
                  <a:prstGeom prst="rect">
                    <a:avLst/>
                  </a:prstGeom>
                  <a:noFill/>
                  <a:ln w="9525">
                    <a:noFill/>
                    <a:miter lim="800000"/>
                    <a:headEnd/>
                    <a:tailEnd/>
                  </a:ln>
                </pic:spPr>
              </pic:pic>
            </a:graphicData>
          </a:graphic>
        </wp:anchor>
      </w:drawing>
    </w:r>
    <w:r>
      <w:rPr>
        <w:noProof/>
      </w:rPr>
      <w:drawing>
        <wp:anchor distT="0" distB="0" distL="114300" distR="114300" simplePos="0" relativeHeight="251686912" behindDoc="0" locked="0" layoutInCell="1" allowOverlap="1" wp14:anchorId="29B7A3DE" wp14:editId="05163738">
          <wp:simplePos x="0" y="0"/>
          <wp:positionH relativeFrom="column">
            <wp:posOffset>2415540</wp:posOffset>
          </wp:positionH>
          <wp:positionV relativeFrom="paragraph">
            <wp:posOffset>-72390</wp:posOffset>
          </wp:positionV>
          <wp:extent cx="1868170" cy="365760"/>
          <wp:effectExtent l="19050" t="0" r="0" b="0"/>
          <wp:wrapThrough wrapText="bothSides">
            <wp:wrapPolygon edited="0">
              <wp:start x="-220" y="0"/>
              <wp:lineTo x="-220" y="20250"/>
              <wp:lineTo x="21585" y="20250"/>
              <wp:lineTo x="21585" y="0"/>
              <wp:lineTo x="-220" y="0"/>
            </wp:wrapPolygon>
          </wp:wrapThrough>
          <wp:docPr id="42" name="Picture 42" descr="C:\Users\janettelucero\AppData\Local\Microsoft\Windows\Temporary Internet Files\Content.Word\DNR LOGO 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nettelucero\AppData\Local\Microsoft\Windows\Temporary Internet Files\Content.Word\DNR LOGO All.jpg"/>
                  <pic:cNvPicPr>
                    <a:picLocks noChangeAspect="1" noChangeArrowheads="1"/>
                  </pic:cNvPicPr>
                </pic:nvPicPr>
                <pic:blipFill>
                  <a:blip r:embed="rId3"/>
                  <a:srcRect/>
                  <a:stretch>
                    <a:fillRect/>
                  </a:stretch>
                </pic:blipFill>
                <pic:spPr bwMode="auto">
                  <a:xfrm>
                    <a:off x="0" y="0"/>
                    <a:ext cx="1868170" cy="365760"/>
                  </a:xfrm>
                  <a:prstGeom prst="rect">
                    <a:avLst/>
                  </a:prstGeom>
                  <a:noFill/>
                  <a:ln w="9525">
                    <a:noFill/>
                    <a:miter lim="800000"/>
                    <a:headEnd/>
                    <a:tailEnd/>
                  </a:ln>
                </pic:spPr>
              </pic:pic>
            </a:graphicData>
          </a:graphic>
        </wp:anchor>
      </w:drawing>
    </w:r>
    <w:r>
      <w:rPr>
        <w:color w:val="CC9900"/>
      </w:rPr>
      <w:tab/>
    </w:r>
    <w:r>
      <w:rPr>
        <w:color w:val="CC9900"/>
      </w:rPr>
      <w:tab/>
    </w:r>
  </w:p>
  <w:p w14:paraId="65DABB47" w14:textId="77777777" w:rsidR="00A075D6" w:rsidRPr="00ED5871" w:rsidRDefault="00A075D6" w:rsidP="00B61186">
    <w:pPr>
      <w:shd w:val="clear" w:color="auto" w:fill="FFFFFF" w:themeFill="background1"/>
      <w:spacing w:after="0" w:line="240" w:lineRule="auto"/>
      <w:rPr>
        <w:color w:val="8D7433"/>
        <w:sz w:val="8"/>
        <w:szCs w:val="8"/>
      </w:rPr>
    </w:pPr>
    <w:r>
      <w:rPr>
        <w:color w:val="8D7433"/>
        <w:sz w:val="8"/>
        <w:szCs w:val="8"/>
      </w:rPr>
      <w:t>______________________________________________</w:t>
    </w:r>
    <w:r w:rsidRPr="00ED5871">
      <w:rPr>
        <w:color w:val="8D7433"/>
        <w:sz w:val="8"/>
        <w:szCs w:val="8"/>
      </w:rPr>
      <w:t>___</w:t>
    </w:r>
    <w:r>
      <w:rPr>
        <w:color w:val="8D7433"/>
        <w:sz w:val="8"/>
        <w:szCs w:val="8"/>
      </w:rPr>
      <w:t>_________________________________________</w:t>
    </w:r>
    <w:r w:rsidRPr="00ED5871">
      <w:rPr>
        <w:color w:val="8D7433"/>
        <w:sz w:val="8"/>
        <w:szCs w:val="8"/>
      </w:rPr>
      <w:t>____________________________________________________________</w:t>
    </w:r>
    <w:r>
      <w:rPr>
        <w:color w:val="8D7433"/>
        <w:sz w:val="8"/>
        <w:szCs w:val="8"/>
      </w:rPr>
      <w:t>_______________________________________</w:t>
    </w:r>
    <w:r w:rsidRPr="00ED5871">
      <w:rPr>
        <w:color w:val="8D7433"/>
        <w:sz w:val="8"/>
        <w:szCs w:val="8"/>
      </w:rPr>
      <w:t>_____________________</w:t>
    </w:r>
  </w:p>
  <w:p w14:paraId="134F79E6" w14:textId="77777777" w:rsidR="00A075D6" w:rsidRDefault="00A075D6" w:rsidP="00983C5E">
    <w:pPr>
      <w:pStyle w:val="Footer"/>
      <w:jc w:val="center"/>
      <w:rPr>
        <w:rFonts w:ascii="Verdana" w:hAnsi="Verdana"/>
        <w:sz w:val="12"/>
        <w:szCs w:val="12"/>
      </w:rPr>
    </w:pPr>
    <w:r>
      <w:rPr>
        <w:rFonts w:ascii="Verdana" w:hAnsi="Verdana"/>
        <w:sz w:val="12"/>
        <w:szCs w:val="12"/>
      </w:rPr>
      <w:t xml:space="preserve">Utah Geological Survey, 1594 W. North Temple, PO Box 146100, Salt Lake City, UT  84114, 801-537-3300, </w:t>
    </w:r>
    <w:hyperlink r:id="rId4" w:history="1">
      <w:r w:rsidRPr="000D3618">
        <w:rPr>
          <w:rStyle w:val="Hyperlink"/>
          <w:rFonts w:ascii="Verdana" w:hAnsi="Verdana"/>
          <w:sz w:val="12"/>
          <w:szCs w:val="12"/>
        </w:rPr>
        <w:t>www.geology.utah.gov</w:t>
      </w:r>
    </w:hyperlink>
  </w:p>
  <w:p w14:paraId="6B041DA1" w14:textId="77777777" w:rsidR="00A075D6" w:rsidRDefault="00A075D6" w:rsidP="00983C5E">
    <w:pPr>
      <w:pStyle w:val="Footer"/>
      <w:jc w:val="center"/>
      <w:rPr>
        <w:rFonts w:ascii="Verdana" w:hAnsi="Verdana"/>
        <w:sz w:val="12"/>
        <w:szCs w:val="12"/>
      </w:rPr>
    </w:pPr>
  </w:p>
  <w:p w14:paraId="17F1A8B8" w14:textId="77777777" w:rsidR="00A075D6" w:rsidRPr="00EC13E7" w:rsidRDefault="00A075D6" w:rsidP="00983C5E">
    <w:pPr>
      <w:pStyle w:val="Footer"/>
      <w:jc w:val="center"/>
      <w:rPr>
        <w:rFonts w:ascii="Verdana" w:hAnsi="Verdana"/>
        <w:sz w:val="22"/>
        <w:szCs w:val="22"/>
      </w:rPr>
    </w:pPr>
    <w:r>
      <w:rPr>
        <w:rFonts w:ascii="Verdana" w:hAnsi="Verdana"/>
        <w:sz w:val="22"/>
        <w:szCs w:val="22"/>
      </w:rPr>
      <w:t xml:space="preserve">Page 1 </w:t>
    </w:r>
    <w:r w:rsidRPr="00EC13E7">
      <w:rPr>
        <w:rFonts w:ascii="Verdana" w:hAnsi="Verdana"/>
        <w:sz w:val="22"/>
        <w:szCs w:val="22"/>
      </w:rPr>
      <w:t xml:space="preserve">of </w:t>
    </w:r>
    <w:r>
      <w:rPr>
        <w:rFonts w:ascii="Verdana" w:hAnsi="Verdana"/>
        <w:sz w:val="22"/>
        <w:szCs w:val="22"/>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40990" w14:textId="77777777" w:rsidR="00BF2CE8" w:rsidRDefault="00BF2CE8" w:rsidP="00B61186">
    <w:pPr>
      <w:shd w:val="clear" w:color="auto" w:fill="FFFFFF" w:themeFill="background1"/>
      <w:tabs>
        <w:tab w:val="center" w:pos="4680"/>
        <w:tab w:val="left" w:pos="8146"/>
      </w:tabs>
      <w:spacing w:line="240" w:lineRule="auto"/>
      <w:rPr>
        <w:color w:val="CC9900"/>
      </w:rPr>
    </w:pPr>
    <w:r>
      <w:rPr>
        <w:noProof/>
      </w:rPr>
      <w:drawing>
        <wp:anchor distT="0" distB="0" distL="114300" distR="114300" simplePos="0" relativeHeight="251675648" behindDoc="0" locked="0" layoutInCell="1" allowOverlap="1" wp14:anchorId="362A1F75" wp14:editId="09059FBA">
          <wp:simplePos x="0" y="0"/>
          <wp:positionH relativeFrom="column">
            <wp:posOffset>1684020</wp:posOffset>
          </wp:positionH>
          <wp:positionV relativeFrom="paragraph">
            <wp:posOffset>-33020</wp:posOffset>
          </wp:positionV>
          <wp:extent cx="287655" cy="326390"/>
          <wp:effectExtent l="19050" t="0" r="0" b="0"/>
          <wp:wrapThrough wrapText="bothSides">
            <wp:wrapPolygon edited="0">
              <wp:start x="-1430" y="0"/>
              <wp:lineTo x="-1430" y="20171"/>
              <wp:lineTo x="21457" y="20171"/>
              <wp:lineTo x="21457" y="0"/>
              <wp:lineTo x="-1430" y="0"/>
            </wp:wrapPolygon>
          </wp:wrapThrough>
          <wp:docPr id="43" name="Picture 43" descr="C:\Users\janettelucero\AppData\Local\Microsoft\Windows\Temporary Internet Files\Content.Word\Copy of High resolut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ettelucero\AppData\Local\Microsoft\Windows\Temporary Internet Files\Content.Word\Copy of High resolution logo.jpg"/>
                  <pic:cNvPicPr>
                    <a:picLocks noChangeAspect="1" noChangeArrowheads="1"/>
                  </pic:cNvPicPr>
                </pic:nvPicPr>
                <pic:blipFill>
                  <a:blip r:embed="rId1"/>
                  <a:srcRect/>
                  <a:stretch>
                    <a:fillRect/>
                  </a:stretch>
                </pic:blipFill>
                <pic:spPr bwMode="auto">
                  <a:xfrm>
                    <a:off x="0" y="0"/>
                    <a:ext cx="287655" cy="326390"/>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0" locked="0" layoutInCell="1" allowOverlap="1" wp14:anchorId="37CD5C57" wp14:editId="5C5C512B">
          <wp:simplePos x="0" y="0"/>
          <wp:positionH relativeFrom="column">
            <wp:posOffset>2063115</wp:posOffset>
          </wp:positionH>
          <wp:positionV relativeFrom="paragraph">
            <wp:posOffset>-33020</wp:posOffset>
          </wp:positionV>
          <wp:extent cx="287655" cy="326390"/>
          <wp:effectExtent l="19050" t="0" r="0" b="0"/>
          <wp:wrapThrough wrapText="bothSides">
            <wp:wrapPolygon edited="0">
              <wp:start x="-1430" y="0"/>
              <wp:lineTo x="-1430" y="20171"/>
              <wp:lineTo x="21457" y="20171"/>
              <wp:lineTo x="21457" y="0"/>
              <wp:lineTo x="-1430" y="0"/>
            </wp:wrapPolygon>
          </wp:wrapThrough>
          <wp:docPr id="44" name="Picture 44" descr="C:\Users\janettelucero\AppData\Local\Microsoft\Windows\Temporary Internet Files\Content.Word\Logo - 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nettelucero\AppData\Local\Microsoft\Windows\Temporary Internet Files\Content.Word\Logo - UGS.JPG"/>
                  <pic:cNvPicPr>
                    <a:picLocks noChangeAspect="1" noChangeArrowheads="1"/>
                  </pic:cNvPicPr>
                </pic:nvPicPr>
                <pic:blipFill>
                  <a:blip r:embed="rId2"/>
                  <a:srcRect/>
                  <a:stretch>
                    <a:fillRect/>
                  </a:stretch>
                </pic:blipFill>
                <pic:spPr bwMode="auto">
                  <a:xfrm>
                    <a:off x="0" y="0"/>
                    <a:ext cx="287655" cy="326390"/>
                  </a:xfrm>
                  <a:prstGeom prst="rect">
                    <a:avLst/>
                  </a:prstGeom>
                  <a:noFill/>
                  <a:ln w="9525">
                    <a:noFill/>
                    <a:miter lim="800000"/>
                    <a:headEnd/>
                    <a:tailEnd/>
                  </a:ln>
                </pic:spPr>
              </pic:pic>
            </a:graphicData>
          </a:graphic>
        </wp:anchor>
      </w:drawing>
    </w:r>
    <w:r>
      <w:rPr>
        <w:noProof/>
      </w:rPr>
      <w:drawing>
        <wp:anchor distT="0" distB="0" distL="114300" distR="114300" simplePos="0" relativeHeight="251677696" behindDoc="0" locked="0" layoutInCell="1" allowOverlap="1" wp14:anchorId="5CA2B71C" wp14:editId="69579ADD">
          <wp:simplePos x="0" y="0"/>
          <wp:positionH relativeFrom="column">
            <wp:posOffset>2415540</wp:posOffset>
          </wp:positionH>
          <wp:positionV relativeFrom="paragraph">
            <wp:posOffset>-72390</wp:posOffset>
          </wp:positionV>
          <wp:extent cx="1868170" cy="365760"/>
          <wp:effectExtent l="19050" t="0" r="0" b="0"/>
          <wp:wrapThrough wrapText="bothSides">
            <wp:wrapPolygon edited="0">
              <wp:start x="-220" y="0"/>
              <wp:lineTo x="-220" y="20250"/>
              <wp:lineTo x="21585" y="20250"/>
              <wp:lineTo x="21585" y="0"/>
              <wp:lineTo x="-220" y="0"/>
            </wp:wrapPolygon>
          </wp:wrapThrough>
          <wp:docPr id="45" name="Picture 45" descr="C:\Users\janettelucero\AppData\Local\Microsoft\Windows\Temporary Internet Files\Content.Word\DNR LOGO 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nettelucero\AppData\Local\Microsoft\Windows\Temporary Internet Files\Content.Word\DNR LOGO All.jpg"/>
                  <pic:cNvPicPr>
                    <a:picLocks noChangeAspect="1" noChangeArrowheads="1"/>
                  </pic:cNvPicPr>
                </pic:nvPicPr>
                <pic:blipFill>
                  <a:blip r:embed="rId3"/>
                  <a:srcRect/>
                  <a:stretch>
                    <a:fillRect/>
                  </a:stretch>
                </pic:blipFill>
                <pic:spPr bwMode="auto">
                  <a:xfrm>
                    <a:off x="0" y="0"/>
                    <a:ext cx="1868170" cy="365760"/>
                  </a:xfrm>
                  <a:prstGeom prst="rect">
                    <a:avLst/>
                  </a:prstGeom>
                  <a:noFill/>
                  <a:ln w="9525">
                    <a:noFill/>
                    <a:miter lim="800000"/>
                    <a:headEnd/>
                    <a:tailEnd/>
                  </a:ln>
                </pic:spPr>
              </pic:pic>
            </a:graphicData>
          </a:graphic>
        </wp:anchor>
      </w:drawing>
    </w:r>
    <w:r>
      <w:rPr>
        <w:color w:val="CC9900"/>
      </w:rPr>
      <w:tab/>
    </w:r>
    <w:r>
      <w:rPr>
        <w:color w:val="CC9900"/>
      </w:rPr>
      <w:tab/>
    </w:r>
  </w:p>
  <w:p w14:paraId="770FD504" w14:textId="77777777" w:rsidR="00BF2CE8" w:rsidRPr="00ED5871" w:rsidRDefault="00BF2CE8" w:rsidP="00B61186">
    <w:pPr>
      <w:shd w:val="clear" w:color="auto" w:fill="FFFFFF" w:themeFill="background1"/>
      <w:spacing w:after="0" w:line="240" w:lineRule="auto"/>
      <w:rPr>
        <w:color w:val="8D7433"/>
        <w:sz w:val="8"/>
        <w:szCs w:val="8"/>
      </w:rPr>
    </w:pPr>
    <w:r>
      <w:rPr>
        <w:color w:val="8D7433"/>
        <w:sz w:val="8"/>
        <w:szCs w:val="8"/>
      </w:rPr>
      <w:t>______________________________________________</w:t>
    </w:r>
    <w:r w:rsidRPr="00ED5871">
      <w:rPr>
        <w:color w:val="8D7433"/>
        <w:sz w:val="8"/>
        <w:szCs w:val="8"/>
      </w:rPr>
      <w:t>___</w:t>
    </w:r>
    <w:r>
      <w:rPr>
        <w:color w:val="8D7433"/>
        <w:sz w:val="8"/>
        <w:szCs w:val="8"/>
      </w:rPr>
      <w:t>_________________________________________</w:t>
    </w:r>
    <w:r w:rsidRPr="00ED5871">
      <w:rPr>
        <w:color w:val="8D7433"/>
        <w:sz w:val="8"/>
        <w:szCs w:val="8"/>
      </w:rPr>
      <w:t>____________________________________________________________</w:t>
    </w:r>
    <w:r>
      <w:rPr>
        <w:color w:val="8D7433"/>
        <w:sz w:val="8"/>
        <w:szCs w:val="8"/>
      </w:rPr>
      <w:t>_______________________________________</w:t>
    </w:r>
    <w:r w:rsidRPr="00ED5871">
      <w:rPr>
        <w:color w:val="8D7433"/>
        <w:sz w:val="8"/>
        <w:szCs w:val="8"/>
      </w:rPr>
      <w:t>_____________________</w:t>
    </w:r>
  </w:p>
  <w:p w14:paraId="356BF676" w14:textId="77777777" w:rsidR="00BF2CE8" w:rsidRDefault="00BF2CE8" w:rsidP="00983C5E">
    <w:pPr>
      <w:pStyle w:val="Footer"/>
      <w:jc w:val="center"/>
      <w:rPr>
        <w:rFonts w:ascii="Verdana" w:hAnsi="Verdana"/>
        <w:sz w:val="12"/>
        <w:szCs w:val="12"/>
      </w:rPr>
    </w:pPr>
    <w:r>
      <w:rPr>
        <w:rFonts w:ascii="Verdana" w:hAnsi="Verdana"/>
        <w:sz w:val="12"/>
        <w:szCs w:val="12"/>
      </w:rPr>
      <w:t xml:space="preserve">Utah Geological Survey, 1594 W. North Temple, PO Box 146100, Salt Lake City, UT  84114, 801-537-3300, </w:t>
    </w:r>
    <w:hyperlink r:id="rId4" w:history="1">
      <w:r w:rsidRPr="000D3618">
        <w:rPr>
          <w:rStyle w:val="Hyperlink"/>
          <w:rFonts w:ascii="Verdana" w:hAnsi="Verdana"/>
          <w:sz w:val="12"/>
          <w:szCs w:val="12"/>
        </w:rPr>
        <w:t>www.geology.utah.gov</w:t>
      </w:r>
    </w:hyperlink>
  </w:p>
  <w:p w14:paraId="09DAD806" w14:textId="77777777" w:rsidR="00BF2CE8" w:rsidRDefault="00BF2CE8" w:rsidP="00983C5E">
    <w:pPr>
      <w:pStyle w:val="Footer"/>
      <w:jc w:val="center"/>
      <w:rPr>
        <w:rFonts w:ascii="Verdana" w:hAnsi="Verdana"/>
        <w:sz w:val="12"/>
        <w:szCs w:val="12"/>
      </w:rPr>
    </w:pPr>
  </w:p>
  <w:p w14:paraId="2B9E18C6" w14:textId="77777777" w:rsidR="00BF2CE8" w:rsidRPr="00EC13E7" w:rsidRDefault="00BF2CE8" w:rsidP="00983C5E">
    <w:pPr>
      <w:pStyle w:val="Footer"/>
      <w:jc w:val="center"/>
      <w:rPr>
        <w:rFonts w:ascii="Verdana" w:hAnsi="Verdana"/>
        <w:sz w:val="22"/>
        <w:szCs w:val="22"/>
      </w:rPr>
    </w:pPr>
    <w:r>
      <w:rPr>
        <w:rFonts w:ascii="Verdana" w:hAnsi="Verdana"/>
        <w:sz w:val="22"/>
        <w:szCs w:val="22"/>
      </w:rPr>
      <w:t xml:space="preserve">Page 2 </w:t>
    </w:r>
    <w:r w:rsidRPr="00EC13E7">
      <w:rPr>
        <w:rFonts w:ascii="Verdana" w:hAnsi="Verdana"/>
        <w:sz w:val="22"/>
        <w:szCs w:val="22"/>
      </w:rPr>
      <w:t xml:space="preserve">of </w:t>
    </w:r>
    <w:r>
      <w:rPr>
        <w:rFonts w:ascii="Verdana" w:hAnsi="Verdana"/>
        <w:sz w:val="22"/>
        <w:szCs w:val="22"/>
      </w:rPr>
      <w:t>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2BD65" w14:textId="77777777" w:rsidR="00BF2CE8" w:rsidRDefault="00BF2CE8" w:rsidP="00B61186">
    <w:pPr>
      <w:shd w:val="clear" w:color="auto" w:fill="FFFFFF" w:themeFill="background1"/>
      <w:tabs>
        <w:tab w:val="center" w:pos="4680"/>
        <w:tab w:val="left" w:pos="8146"/>
      </w:tabs>
      <w:spacing w:line="240" w:lineRule="auto"/>
      <w:rPr>
        <w:color w:val="CC9900"/>
      </w:rPr>
    </w:pPr>
    <w:r>
      <w:rPr>
        <w:noProof/>
      </w:rPr>
      <w:drawing>
        <wp:anchor distT="0" distB="0" distL="114300" distR="114300" simplePos="0" relativeHeight="251671552" behindDoc="0" locked="0" layoutInCell="1" allowOverlap="1" wp14:anchorId="60DD0D7D" wp14:editId="1B5B6242">
          <wp:simplePos x="0" y="0"/>
          <wp:positionH relativeFrom="column">
            <wp:posOffset>1684020</wp:posOffset>
          </wp:positionH>
          <wp:positionV relativeFrom="paragraph">
            <wp:posOffset>-33020</wp:posOffset>
          </wp:positionV>
          <wp:extent cx="287655" cy="326390"/>
          <wp:effectExtent l="19050" t="0" r="0" b="0"/>
          <wp:wrapThrough wrapText="bothSides">
            <wp:wrapPolygon edited="0">
              <wp:start x="-1430" y="0"/>
              <wp:lineTo x="-1430" y="20171"/>
              <wp:lineTo x="21457" y="20171"/>
              <wp:lineTo x="21457" y="0"/>
              <wp:lineTo x="-1430" y="0"/>
            </wp:wrapPolygon>
          </wp:wrapThrough>
          <wp:docPr id="49" name="Picture 49" descr="C:\Users\janettelucero\AppData\Local\Microsoft\Windows\Temporary Internet Files\Content.Word\Copy of High resolut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ettelucero\AppData\Local\Microsoft\Windows\Temporary Internet Files\Content.Word\Copy of High resolution logo.jpg"/>
                  <pic:cNvPicPr>
                    <a:picLocks noChangeAspect="1" noChangeArrowheads="1"/>
                  </pic:cNvPicPr>
                </pic:nvPicPr>
                <pic:blipFill>
                  <a:blip r:embed="rId1"/>
                  <a:srcRect/>
                  <a:stretch>
                    <a:fillRect/>
                  </a:stretch>
                </pic:blipFill>
                <pic:spPr bwMode="auto">
                  <a:xfrm>
                    <a:off x="0" y="0"/>
                    <a:ext cx="287655" cy="326390"/>
                  </a:xfrm>
                  <a:prstGeom prst="rect">
                    <a:avLst/>
                  </a:prstGeom>
                  <a:noFill/>
                  <a:ln w="9525">
                    <a:noFill/>
                    <a:miter lim="800000"/>
                    <a:headEnd/>
                    <a:tailEnd/>
                  </a:ln>
                </pic:spPr>
              </pic:pic>
            </a:graphicData>
          </a:graphic>
        </wp:anchor>
      </w:drawing>
    </w:r>
    <w:r>
      <w:rPr>
        <w:noProof/>
      </w:rPr>
      <w:drawing>
        <wp:anchor distT="0" distB="0" distL="114300" distR="114300" simplePos="0" relativeHeight="251672576" behindDoc="0" locked="0" layoutInCell="1" allowOverlap="1" wp14:anchorId="1BD53C65" wp14:editId="5E7AADEE">
          <wp:simplePos x="0" y="0"/>
          <wp:positionH relativeFrom="column">
            <wp:posOffset>2063115</wp:posOffset>
          </wp:positionH>
          <wp:positionV relativeFrom="paragraph">
            <wp:posOffset>-33020</wp:posOffset>
          </wp:positionV>
          <wp:extent cx="287655" cy="326390"/>
          <wp:effectExtent l="19050" t="0" r="0" b="0"/>
          <wp:wrapThrough wrapText="bothSides">
            <wp:wrapPolygon edited="0">
              <wp:start x="-1430" y="0"/>
              <wp:lineTo x="-1430" y="20171"/>
              <wp:lineTo x="21457" y="20171"/>
              <wp:lineTo x="21457" y="0"/>
              <wp:lineTo x="-1430" y="0"/>
            </wp:wrapPolygon>
          </wp:wrapThrough>
          <wp:docPr id="50" name="Picture 50" descr="C:\Users\janettelucero\AppData\Local\Microsoft\Windows\Temporary Internet Files\Content.Word\Logo - 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nettelucero\AppData\Local\Microsoft\Windows\Temporary Internet Files\Content.Word\Logo - UGS.JPG"/>
                  <pic:cNvPicPr>
                    <a:picLocks noChangeAspect="1" noChangeArrowheads="1"/>
                  </pic:cNvPicPr>
                </pic:nvPicPr>
                <pic:blipFill>
                  <a:blip r:embed="rId2"/>
                  <a:srcRect/>
                  <a:stretch>
                    <a:fillRect/>
                  </a:stretch>
                </pic:blipFill>
                <pic:spPr bwMode="auto">
                  <a:xfrm>
                    <a:off x="0" y="0"/>
                    <a:ext cx="287655" cy="326390"/>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0" locked="0" layoutInCell="1" allowOverlap="1" wp14:anchorId="236F68FE" wp14:editId="041B9079">
          <wp:simplePos x="0" y="0"/>
          <wp:positionH relativeFrom="column">
            <wp:posOffset>2415540</wp:posOffset>
          </wp:positionH>
          <wp:positionV relativeFrom="paragraph">
            <wp:posOffset>-72390</wp:posOffset>
          </wp:positionV>
          <wp:extent cx="1868170" cy="365760"/>
          <wp:effectExtent l="19050" t="0" r="0" b="0"/>
          <wp:wrapThrough wrapText="bothSides">
            <wp:wrapPolygon edited="0">
              <wp:start x="-220" y="0"/>
              <wp:lineTo x="-220" y="20250"/>
              <wp:lineTo x="21585" y="20250"/>
              <wp:lineTo x="21585" y="0"/>
              <wp:lineTo x="-220" y="0"/>
            </wp:wrapPolygon>
          </wp:wrapThrough>
          <wp:docPr id="51" name="Picture 51" descr="C:\Users\janettelucero\AppData\Local\Microsoft\Windows\Temporary Internet Files\Content.Word\DNR LOGO 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nettelucero\AppData\Local\Microsoft\Windows\Temporary Internet Files\Content.Word\DNR LOGO All.jpg"/>
                  <pic:cNvPicPr>
                    <a:picLocks noChangeAspect="1" noChangeArrowheads="1"/>
                  </pic:cNvPicPr>
                </pic:nvPicPr>
                <pic:blipFill>
                  <a:blip r:embed="rId3"/>
                  <a:srcRect/>
                  <a:stretch>
                    <a:fillRect/>
                  </a:stretch>
                </pic:blipFill>
                <pic:spPr bwMode="auto">
                  <a:xfrm>
                    <a:off x="0" y="0"/>
                    <a:ext cx="1868170" cy="365760"/>
                  </a:xfrm>
                  <a:prstGeom prst="rect">
                    <a:avLst/>
                  </a:prstGeom>
                  <a:noFill/>
                  <a:ln w="9525">
                    <a:noFill/>
                    <a:miter lim="800000"/>
                    <a:headEnd/>
                    <a:tailEnd/>
                  </a:ln>
                </pic:spPr>
              </pic:pic>
            </a:graphicData>
          </a:graphic>
        </wp:anchor>
      </w:drawing>
    </w:r>
    <w:r>
      <w:rPr>
        <w:color w:val="CC9900"/>
      </w:rPr>
      <w:tab/>
    </w:r>
    <w:r>
      <w:rPr>
        <w:color w:val="CC9900"/>
      </w:rPr>
      <w:tab/>
    </w:r>
  </w:p>
  <w:p w14:paraId="54D89725" w14:textId="77777777" w:rsidR="00BF2CE8" w:rsidRPr="00ED5871" w:rsidRDefault="00BF2CE8" w:rsidP="00B61186">
    <w:pPr>
      <w:shd w:val="clear" w:color="auto" w:fill="FFFFFF" w:themeFill="background1"/>
      <w:spacing w:after="0" w:line="240" w:lineRule="auto"/>
      <w:rPr>
        <w:color w:val="8D7433"/>
        <w:sz w:val="8"/>
        <w:szCs w:val="8"/>
      </w:rPr>
    </w:pPr>
    <w:r>
      <w:rPr>
        <w:color w:val="8D7433"/>
        <w:sz w:val="8"/>
        <w:szCs w:val="8"/>
      </w:rPr>
      <w:t>______________________________________________</w:t>
    </w:r>
    <w:r w:rsidRPr="00ED5871">
      <w:rPr>
        <w:color w:val="8D7433"/>
        <w:sz w:val="8"/>
        <w:szCs w:val="8"/>
      </w:rPr>
      <w:t>___</w:t>
    </w:r>
    <w:r>
      <w:rPr>
        <w:color w:val="8D7433"/>
        <w:sz w:val="8"/>
        <w:szCs w:val="8"/>
      </w:rPr>
      <w:t>_________________________________________</w:t>
    </w:r>
    <w:r w:rsidRPr="00ED5871">
      <w:rPr>
        <w:color w:val="8D7433"/>
        <w:sz w:val="8"/>
        <w:szCs w:val="8"/>
      </w:rPr>
      <w:t>____________________________________________________________</w:t>
    </w:r>
    <w:r>
      <w:rPr>
        <w:color w:val="8D7433"/>
        <w:sz w:val="8"/>
        <w:szCs w:val="8"/>
      </w:rPr>
      <w:t>_______________________________________</w:t>
    </w:r>
    <w:r w:rsidRPr="00ED5871">
      <w:rPr>
        <w:color w:val="8D7433"/>
        <w:sz w:val="8"/>
        <w:szCs w:val="8"/>
      </w:rPr>
      <w:t>_____________________</w:t>
    </w:r>
  </w:p>
  <w:p w14:paraId="142B3CE9" w14:textId="77777777" w:rsidR="00BF2CE8" w:rsidRDefault="00BF2CE8" w:rsidP="00983C5E">
    <w:pPr>
      <w:pStyle w:val="Footer"/>
      <w:jc w:val="center"/>
      <w:rPr>
        <w:rFonts w:ascii="Verdana" w:hAnsi="Verdana"/>
        <w:sz w:val="12"/>
        <w:szCs w:val="12"/>
      </w:rPr>
    </w:pPr>
    <w:r>
      <w:rPr>
        <w:rFonts w:ascii="Verdana" w:hAnsi="Verdana"/>
        <w:sz w:val="12"/>
        <w:szCs w:val="12"/>
      </w:rPr>
      <w:t xml:space="preserve">Utah Geological Survey, 1594 W. North Temple, PO Box 146100, Salt Lake City, UT  84114, 801-537-3300, </w:t>
    </w:r>
    <w:hyperlink r:id="rId4" w:history="1">
      <w:r w:rsidRPr="000D3618">
        <w:rPr>
          <w:rStyle w:val="Hyperlink"/>
          <w:rFonts w:ascii="Verdana" w:hAnsi="Verdana"/>
          <w:sz w:val="12"/>
          <w:szCs w:val="12"/>
        </w:rPr>
        <w:t>www.geology.utah.gov</w:t>
      </w:r>
    </w:hyperlink>
  </w:p>
  <w:p w14:paraId="59CC81A6" w14:textId="77777777" w:rsidR="00BF2CE8" w:rsidRDefault="00BF2CE8" w:rsidP="00983C5E">
    <w:pPr>
      <w:pStyle w:val="Footer"/>
      <w:jc w:val="center"/>
      <w:rPr>
        <w:rFonts w:ascii="Verdana" w:hAnsi="Verdana"/>
        <w:sz w:val="12"/>
        <w:szCs w:val="12"/>
      </w:rPr>
    </w:pPr>
  </w:p>
  <w:p w14:paraId="15969054" w14:textId="77777777" w:rsidR="00BF2CE8" w:rsidRPr="00EC13E7" w:rsidRDefault="00BF2CE8" w:rsidP="00983C5E">
    <w:pPr>
      <w:pStyle w:val="Footer"/>
      <w:jc w:val="center"/>
      <w:rPr>
        <w:rFonts w:ascii="Verdana" w:hAnsi="Verdana"/>
        <w:sz w:val="22"/>
        <w:szCs w:val="22"/>
      </w:rPr>
    </w:pPr>
    <w:r>
      <w:rPr>
        <w:rFonts w:ascii="Verdana" w:hAnsi="Verdana"/>
        <w:sz w:val="22"/>
        <w:szCs w:val="22"/>
      </w:rPr>
      <w:t xml:space="preserve">Page 3 </w:t>
    </w:r>
    <w:r w:rsidRPr="00EC13E7">
      <w:rPr>
        <w:rFonts w:ascii="Verdana" w:hAnsi="Verdana"/>
        <w:sz w:val="22"/>
        <w:szCs w:val="22"/>
      </w:rPr>
      <w:t xml:space="preserve">of </w:t>
    </w:r>
    <w:r>
      <w:rPr>
        <w:rFonts w:ascii="Verdana" w:hAnsi="Verdana"/>
        <w:sz w:val="22"/>
        <w:szCs w:val="22"/>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589F68" w14:textId="77777777" w:rsidR="00BA1341" w:rsidRDefault="00BA1341" w:rsidP="007861E2">
      <w:pPr>
        <w:spacing w:after="0" w:line="240" w:lineRule="auto"/>
      </w:pPr>
      <w:r>
        <w:separator/>
      </w:r>
    </w:p>
  </w:footnote>
  <w:footnote w:type="continuationSeparator" w:id="0">
    <w:p w14:paraId="06883A6F" w14:textId="77777777" w:rsidR="00BA1341" w:rsidRDefault="00BA1341" w:rsidP="007861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8C02C" w14:textId="7E9E2C9E" w:rsidR="00A075D6" w:rsidRDefault="00A075D6" w:rsidP="00D46195">
    <w:pPr>
      <w:pStyle w:val="Header"/>
      <w:tabs>
        <w:tab w:val="clear" w:pos="4680"/>
        <w:tab w:val="clear" w:pos="9360"/>
        <w:tab w:val="left" w:pos="1625"/>
      </w:tabs>
      <w:rPr>
        <w:b/>
      </w:rPr>
    </w:pPr>
    <w:r>
      <w:rPr>
        <w:b/>
        <w:noProof/>
      </w:rPr>
      <w:drawing>
        <wp:anchor distT="0" distB="0" distL="114300" distR="114300" simplePos="0" relativeHeight="251683840" behindDoc="0" locked="0" layoutInCell="1" allowOverlap="1" wp14:anchorId="035BD503" wp14:editId="6ABACE2E">
          <wp:simplePos x="0" y="0"/>
          <wp:positionH relativeFrom="column">
            <wp:posOffset>71120</wp:posOffset>
          </wp:positionH>
          <wp:positionV relativeFrom="paragraph">
            <wp:posOffset>6350</wp:posOffset>
          </wp:positionV>
          <wp:extent cx="516255" cy="640080"/>
          <wp:effectExtent l="19050" t="0" r="0" b="0"/>
          <wp:wrapThrough wrapText="bothSides">
            <wp:wrapPolygon edited="0">
              <wp:start x="-797" y="0"/>
              <wp:lineTo x="-797" y="21214"/>
              <wp:lineTo x="21520" y="21214"/>
              <wp:lineTo x="21520" y="0"/>
              <wp:lineTo x="-797" y="0"/>
            </wp:wrapPolygon>
          </wp:wrapThrough>
          <wp:docPr id="35" name="Picture 35" descr="H:\Miscellaneous\Logo\DNR DeptLightLarg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Miscellaneous\Logo\DNR DeptLightLargeRGB.jpg"/>
                  <pic:cNvPicPr>
                    <a:picLocks noChangeAspect="1" noChangeArrowheads="1"/>
                  </pic:cNvPicPr>
                </pic:nvPicPr>
                <pic:blipFill>
                  <a:blip r:embed="rId1"/>
                  <a:stretch>
                    <a:fillRect/>
                  </a:stretch>
                </pic:blipFill>
                <pic:spPr bwMode="auto">
                  <a:xfrm>
                    <a:off x="0" y="0"/>
                    <a:ext cx="516255" cy="64008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79744" behindDoc="0" locked="0" layoutInCell="1" allowOverlap="1" wp14:anchorId="3EF3BFD0" wp14:editId="281252D3">
          <wp:simplePos x="0" y="0"/>
          <wp:positionH relativeFrom="column">
            <wp:posOffset>-2994660</wp:posOffset>
          </wp:positionH>
          <wp:positionV relativeFrom="paragraph">
            <wp:posOffset>-510540</wp:posOffset>
          </wp:positionV>
          <wp:extent cx="552450" cy="685800"/>
          <wp:effectExtent l="19050" t="0" r="0" b="0"/>
          <wp:wrapNone/>
          <wp:docPr id="36" name="Picture 36" descr="DeptLightSmall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tLightSmallPMS"/>
                  <pic:cNvPicPr>
                    <a:picLocks noChangeAspect="1" noChangeArrowheads="1"/>
                  </pic:cNvPicPr>
                </pic:nvPicPr>
                <pic:blipFill>
                  <a:blip r:embed="rId2"/>
                  <a:srcRect/>
                  <a:stretch>
                    <a:fillRect/>
                  </a:stretch>
                </pic:blipFill>
                <pic:spPr bwMode="auto">
                  <a:xfrm>
                    <a:off x="0" y="0"/>
                    <a:ext cx="552450" cy="685800"/>
                  </a:xfrm>
                  <a:prstGeom prst="rect">
                    <a:avLst/>
                  </a:prstGeom>
                  <a:noFill/>
                </pic:spPr>
              </pic:pic>
            </a:graphicData>
          </a:graphic>
        </wp:anchor>
      </w:drawing>
    </w:r>
    <w:r>
      <w:rPr>
        <w:noProof/>
        <w:sz w:val="24"/>
        <w:szCs w:val="24"/>
      </w:rPr>
      <w:drawing>
        <wp:anchor distT="0" distB="0" distL="114300" distR="114300" simplePos="0" relativeHeight="251681792" behindDoc="0" locked="0" layoutInCell="1" allowOverlap="1" wp14:anchorId="62002E55" wp14:editId="3BFE703C">
          <wp:simplePos x="0" y="0"/>
          <wp:positionH relativeFrom="column">
            <wp:posOffset>-2994660</wp:posOffset>
          </wp:positionH>
          <wp:positionV relativeFrom="paragraph">
            <wp:posOffset>-510540</wp:posOffset>
          </wp:positionV>
          <wp:extent cx="552450" cy="685800"/>
          <wp:effectExtent l="19050" t="0" r="0" b="0"/>
          <wp:wrapNone/>
          <wp:docPr id="37" name="Picture 37" descr="DeptLightSmall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tLightSmallPMS"/>
                  <pic:cNvPicPr>
                    <a:picLocks noChangeAspect="1" noChangeArrowheads="1"/>
                  </pic:cNvPicPr>
                </pic:nvPicPr>
                <pic:blipFill>
                  <a:blip r:embed="rId2"/>
                  <a:srcRect/>
                  <a:stretch>
                    <a:fillRect/>
                  </a:stretch>
                </pic:blipFill>
                <pic:spPr bwMode="auto">
                  <a:xfrm>
                    <a:off x="0" y="0"/>
                    <a:ext cx="552450" cy="685800"/>
                  </a:xfrm>
                  <a:prstGeom prst="rect">
                    <a:avLst/>
                  </a:prstGeom>
                  <a:noFill/>
                </pic:spPr>
              </pic:pic>
            </a:graphicData>
          </a:graphic>
        </wp:anchor>
      </w:drawing>
    </w:r>
    <w:r>
      <w:rPr>
        <w:noProof/>
        <w:sz w:val="24"/>
        <w:szCs w:val="24"/>
      </w:rPr>
      <w:drawing>
        <wp:anchor distT="0" distB="0" distL="114300" distR="114300" simplePos="0" relativeHeight="251682816" behindDoc="0" locked="0" layoutInCell="1" allowOverlap="1" wp14:anchorId="2B248337" wp14:editId="32CAB185">
          <wp:simplePos x="0" y="0"/>
          <wp:positionH relativeFrom="column">
            <wp:posOffset>-2994660</wp:posOffset>
          </wp:positionH>
          <wp:positionV relativeFrom="paragraph">
            <wp:posOffset>-510540</wp:posOffset>
          </wp:positionV>
          <wp:extent cx="552450" cy="685800"/>
          <wp:effectExtent l="19050" t="0" r="0" b="0"/>
          <wp:wrapNone/>
          <wp:docPr id="38" name="Picture 38" descr="DeptLightSmall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ptLightSmallPMS"/>
                  <pic:cNvPicPr>
                    <a:picLocks noChangeAspect="1" noChangeArrowheads="1"/>
                  </pic:cNvPicPr>
                </pic:nvPicPr>
                <pic:blipFill>
                  <a:blip r:embed="rId2"/>
                  <a:srcRect/>
                  <a:stretch>
                    <a:fillRect/>
                  </a:stretch>
                </pic:blipFill>
                <pic:spPr bwMode="auto">
                  <a:xfrm>
                    <a:off x="0" y="0"/>
                    <a:ext cx="552450" cy="685800"/>
                  </a:xfrm>
                  <a:prstGeom prst="rect">
                    <a:avLst/>
                  </a:prstGeom>
                  <a:noFill/>
                </pic:spPr>
              </pic:pic>
            </a:graphicData>
          </a:graphic>
        </wp:anchor>
      </w:drawing>
    </w:r>
    <w:r w:rsidRPr="0038234C">
      <w:rPr>
        <w:b/>
      </w:rPr>
      <w:t xml:space="preserve">          </w:t>
    </w:r>
    <w:r>
      <w:rPr>
        <w:b/>
      </w:rPr>
      <w:t xml:space="preserve">       </w:t>
    </w:r>
    <w:r>
      <w:rPr>
        <w:b/>
      </w:rPr>
      <w:tab/>
    </w:r>
  </w:p>
  <w:p w14:paraId="5B712443" w14:textId="79CE18CC" w:rsidR="00A075D6" w:rsidRPr="00A4217E" w:rsidRDefault="001D43AA" w:rsidP="007861E2">
    <w:pPr>
      <w:pStyle w:val="Header"/>
      <w:rPr>
        <w:rFonts w:ascii="Verdana" w:hAnsi="Verdana" w:cs="Times New Roman"/>
        <w:sz w:val="28"/>
        <w:szCs w:val="28"/>
      </w:rPr>
    </w:pPr>
    <w:r>
      <w:rPr>
        <w:rFonts w:ascii="Verdana" w:hAnsi="Verdana" w:cs="Times New Roman"/>
        <w:noProof/>
        <w:sz w:val="28"/>
        <w:szCs w:val="28"/>
      </w:rPr>
      <w:drawing>
        <wp:anchor distT="0" distB="0" distL="114300" distR="114300" simplePos="0" relativeHeight="251687936" behindDoc="1" locked="0" layoutInCell="1" allowOverlap="1" wp14:anchorId="327B2D6C" wp14:editId="5D602FFC">
          <wp:simplePos x="0" y="0"/>
          <wp:positionH relativeFrom="column">
            <wp:posOffset>4867275</wp:posOffset>
          </wp:positionH>
          <wp:positionV relativeFrom="paragraph">
            <wp:posOffset>73025</wp:posOffset>
          </wp:positionV>
          <wp:extent cx="1028700" cy="3829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USGS_ID_green.png"/>
                  <pic:cNvPicPr/>
                </pic:nvPicPr>
                <pic:blipFill>
                  <a:blip r:embed="rId3">
                    <a:extLst>
                      <a:ext uri="{28A0092B-C50C-407E-A947-70E740481C1C}">
                        <a14:useLocalDpi xmlns:a14="http://schemas.microsoft.com/office/drawing/2010/main" val="0"/>
                      </a:ext>
                    </a:extLst>
                  </a:blip>
                  <a:stretch>
                    <a:fillRect/>
                  </a:stretch>
                </pic:blipFill>
                <pic:spPr>
                  <a:xfrm>
                    <a:off x="0" y="0"/>
                    <a:ext cx="1028700" cy="382915"/>
                  </a:xfrm>
                  <a:prstGeom prst="rect">
                    <a:avLst/>
                  </a:prstGeom>
                </pic:spPr>
              </pic:pic>
            </a:graphicData>
          </a:graphic>
          <wp14:sizeRelH relativeFrom="margin">
            <wp14:pctWidth>0</wp14:pctWidth>
          </wp14:sizeRelH>
          <wp14:sizeRelV relativeFrom="margin">
            <wp14:pctHeight>0</wp14:pctHeight>
          </wp14:sizeRelV>
        </wp:anchor>
      </w:drawing>
    </w:r>
    <w:r w:rsidR="00A075D6">
      <w:rPr>
        <w:b/>
      </w:rPr>
      <w:t xml:space="preserve">           </w:t>
    </w:r>
    <w:r w:rsidR="00A075D6">
      <w:rPr>
        <w:rFonts w:ascii="Verdana" w:hAnsi="Verdana" w:cs="Times New Roman"/>
        <w:sz w:val="28"/>
        <w:szCs w:val="28"/>
      </w:rPr>
      <w:t>Utah Department of Natural Resources</w:t>
    </w:r>
  </w:p>
  <w:p w14:paraId="1E88F4BC" w14:textId="1FED9DDE" w:rsidR="00A075D6" w:rsidRPr="00C2474E" w:rsidRDefault="00A075D6" w:rsidP="00ED5871">
    <w:pPr>
      <w:pStyle w:val="Header"/>
      <w:tabs>
        <w:tab w:val="clear" w:pos="9360"/>
      </w:tabs>
      <w:rPr>
        <w:rFonts w:ascii="Verdana" w:hAnsi="Verdana" w:cs="Times New Roman"/>
        <w:b/>
        <w:color w:val="F4750C"/>
        <w:sz w:val="8"/>
        <w:szCs w:val="8"/>
      </w:rPr>
    </w:pPr>
    <w:r w:rsidRPr="001B1B89">
      <w:rPr>
        <w:rFonts w:ascii="Verdana" w:hAnsi="Verdana" w:cs="Times New Roman"/>
        <w:noProof/>
        <w:color w:val="8D7433"/>
        <w:sz w:val="24"/>
        <w:szCs w:val="24"/>
      </w:rPr>
      <w:drawing>
        <wp:anchor distT="0" distB="0" distL="114300" distR="114300" simplePos="0" relativeHeight="251680768" behindDoc="0" locked="0" layoutInCell="1" allowOverlap="1" wp14:anchorId="2508FB4F" wp14:editId="649DBDD2">
          <wp:simplePos x="0" y="0"/>
          <wp:positionH relativeFrom="column">
            <wp:posOffset>-2994660</wp:posOffset>
          </wp:positionH>
          <wp:positionV relativeFrom="paragraph">
            <wp:posOffset>-510540</wp:posOffset>
          </wp:positionV>
          <wp:extent cx="552450" cy="685800"/>
          <wp:effectExtent l="19050" t="0" r="0" b="0"/>
          <wp:wrapNone/>
          <wp:docPr id="39" name="Picture 39" descr="DeptLightSmall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tLightSmallPMS"/>
                  <pic:cNvPicPr>
                    <a:picLocks noChangeAspect="1" noChangeArrowheads="1"/>
                  </pic:cNvPicPr>
                </pic:nvPicPr>
                <pic:blipFill>
                  <a:blip r:embed="rId2"/>
                  <a:srcRect/>
                  <a:stretch>
                    <a:fillRect/>
                  </a:stretch>
                </pic:blipFill>
                <pic:spPr bwMode="auto">
                  <a:xfrm>
                    <a:off x="0" y="0"/>
                    <a:ext cx="552450" cy="685800"/>
                  </a:xfrm>
                  <a:prstGeom prst="rect">
                    <a:avLst/>
                  </a:prstGeom>
                  <a:noFill/>
                </pic:spPr>
              </pic:pic>
            </a:graphicData>
          </a:graphic>
        </wp:anchor>
      </w:drawing>
    </w:r>
    <w:r w:rsidRPr="001B1B89">
      <w:rPr>
        <w:rFonts w:ascii="Verdana" w:hAnsi="Verdana" w:cs="Times New Roman"/>
        <w:color w:val="8D7433"/>
        <w:sz w:val="24"/>
        <w:szCs w:val="24"/>
      </w:rPr>
      <w:t xml:space="preserve">       </w:t>
    </w:r>
    <w:r>
      <w:rPr>
        <w:rFonts w:ascii="Verdana" w:hAnsi="Verdana" w:cs="Times New Roman"/>
        <w:b/>
        <w:color w:val="F4750C"/>
        <w:sz w:val="36"/>
        <w:szCs w:val="36"/>
      </w:rPr>
      <w:t>Utah Geological Survey</w:t>
    </w:r>
  </w:p>
  <w:p w14:paraId="07219456" w14:textId="77777777" w:rsidR="00A075D6" w:rsidRPr="00ED5871" w:rsidRDefault="00A075D6" w:rsidP="00C80A35">
    <w:pPr>
      <w:shd w:val="clear" w:color="auto" w:fill="FFFFFF" w:themeFill="background1"/>
      <w:spacing w:after="0" w:line="240" w:lineRule="auto"/>
      <w:rPr>
        <w:color w:val="8D7433"/>
        <w:sz w:val="8"/>
        <w:szCs w:val="8"/>
      </w:rPr>
    </w:pPr>
    <w:r w:rsidRPr="00ED5871">
      <w:rPr>
        <w:color w:val="8D7433"/>
        <w:sz w:val="8"/>
        <w:szCs w:val="8"/>
      </w:rPr>
      <w:t>___________________</w:t>
    </w:r>
    <w:r>
      <w:rPr>
        <w:color w:val="8D7433"/>
        <w:sz w:val="8"/>
        <w:szCs w:val="8"/>
      </w:rPr>
      <w:t>______________</w:t>
    </w:r>
    <w:r w:rsidRPr="00ED5871">
      <w:rPr>
        <w:color w:val="8D7433"/>
        <w:sz w:val="8"/>
        <w:szCs w:val="8"/>
      </w:rPr>
      <w:t>____________________________________________</w:t>
    </w:r>
    <w:r>
      <w:rPr>
        <w:color w:val="8D7433"/>
        <w:sz w:val="8"/>
        <w:szCs w:val="8"/>
      </w:rPr>
      <w:t>_____________________________________________________________________________________________________________________________________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1E2"/>
    <w:rsid w:val="00012B91"/>
    <w:rsid w:val="00034B5D"/>
    <w:rsid w:val="000747F9"/>
    <w:rsid w:val="00082AD1"/>
    <w:rsid w:val="000A66FA"/>
    <w:rsid w:val="000B0A53"/>
    <w:rsid w:val="000E574F"/>
    <w:rsid w:val="000E6E0D"/>
    <w:rsid w:val="000F0B27"/>
    <w:rsid w:val="001020BF"/>
    <w:rsid w:val="00132754"/>
    <w:rsid w:val="001334A4"/>
    <w:rsid w:val="0018219A"/>
    <w:rsid w:val="001B1B89"/>
    <w:rsid w:val="001B4D0D"/>
    <w:rsid w:val="001D43AA"/>
    <w:rsid w:val="001E530D"/>
    <w:rsid w:val="00201EB1"/>
    <w:rsid w:val="00242176"/>
    <w:rsid w:val="002654B7"/>
    <w:rsid w:val="0027125F"/>
    <w:rsid w:val="00275E87"/>
    <w:rsid w:val="00286E3D"/>
    <w:rsid w:val="0028716C"/>
    <w:rsid w:val="002A56C6"/>
    <w:rsid w:val="002C4A99"/>
    <w:rsid w:val="00320BEE"/>
    <w:rsid w:val="0032479B"/>
    <w:rsid w:val="00332C8C"/>
    <w:rsid w:val="003611C0"/>
    <w:rsid w:val="003B50AA"/>
    <w:rsid w:val="003D4CD8"/>
    <w:rsid w:val="00401C7A"/>
    <w:rsid w:val="004065EA"/>
    <w:rsid w:val="004118BD"/>
    <w:rsid w:val="00412BBA"/>
    <w:rsid w:val="00451A32"/>
    <w:rsid w:val="00453591"/>
    <w:rsid w:val="00465D00"/>
    <w:rsid w:val="004723BD"/>
    <w:rsid w:val="004949B8"/>
    <w:rsid w:val="00497BDF"/>
    <w:rsid w:val="004B642F"/>
    <w:rsid w:val="004D5D67"/>
    <w:rsid w:val="004F5B6C"/>
    <w:rsid w:val="005002EA"/>
    <w:rsid w:val="005052E5"/>
    <w:rsid w:val="00505658"/>
    <w:rsid w:val="005352BF"/>
    <w:rsid w:val="00585809"/>
    <w:rsid w:val="00596D5C"/>
    <w:rsid w:val="005A076E"/>
    <w:rsid w:val="005C5014"/>
    <w:rsid w:val="005E7068"/>
    <w:rsid w:val="005E78D1"/>
    <w:rsid w:val="005F0085"/>
    <w:rsid w:val="005F2471"/>
    <w:rsid w:val="005F4AA2"/>
    <w:rsid w:val="005F7BCB"/>
    <w:rsid w:val="00620318"/>
    <w:rsid w:val="00631BC8"/>
    <w:rsid w:val="00646FA4"/>
    <w:rsid w:val="00653A74"/>
    <w:rsid w:val="006622C2"/>
    <w:rsid w:val="00674B8D"/>
    <w:rsid w:val="006818AE"/>
    <w:rsid w:val="006A0C99"/>
    <w:rsid w:val="00704B3A"/>
    <w:rsid w:val="00711BA9"/>
    <w:rsid w:val="007138C9"/>
    <w:rsid w:val="007155AB"/>
    <w:rsid w:val="00722182"/>
    <w:rsid w:val="00725F52"/>
    <w:rsid w:val="00743424"/>
    <w:rsid w:val="007542FB"/>
    <w:rsid w:val="00756AE8"/>
    <w:rsid w:val="007861E2"/>
    <w:rsid w:val="007B29D9"/>
    <w:rsid w:val="00814192"/>
    <w:rsid w:val="00841F9B"/>
    <w:rsid w:val="00843C47"/>
    <w:rsid w:val="00846619"/>
    <w:rsid w:val="00892A6F"/>
    <w:rsid w:val="008A1149"/>
    <w:rsid w:val="008A3EF4"/>
    <w:rsid w:val="008D15DE"/>
    <w:rsid w:val="008E7CDD"/>
    <w:rsid w:val="008F6AA4"/>
    <w:rsid w:val="009342F9"/>
    <w:rsid w:val="0094210A"/>
    <w:rsid w:val="00944C43"/>
    <w:rsid w:val="00951E27"/>
    <w:rsid w:val="00951EEA"/>
    <w:rsid w:val="00960885"/>
    <w:rsid w:val="009679BE"/>
    <w:rsid w:val="00983C5E"/>
    <w:rsid w:val="00990F41"/>
    <w:rsid w:val="009C3954"/>
    <w:rsid w:val="009C4B3E"/>
    <w:rsid w:val="009C540A"/>
    <w:rsid w:val="009E2A42"/>
    <w:rsid w:val="009F4307"/>
    <w:rsid w:val="00A05266"/>
    <w:rsid w:val="00A075D6"/>
    <w:rsid w:val="00A1520D"/>
    <w:rsid w:val="00A36457"/>
    <w:rsid w:val="00A4217E"/>
    <w:rsid w:val="00A60563"/>
    <w:rsid w:val="00A61691"/>
    <w:rsid w:val="00A635F9"/>
    <w:rsid w:val="00A6591E"/>
    <w:rsid w:val="00A67594"/>
    <w:rsid w:val="00A76D7E"/>
    <w:rsid w:val="00A80052"/>
    <w:rsid w:val="00A9050B"/>
    <w:rsid w:val="00AC6528"/>
    <w:rsid w:val="00AD1B6A"/>
    <w:rsid w:val="00AD434B"/>
    <w:rsid w:val="00AE7354"/>
    <w:rsid w:val="00B128A7"/>
    <w:rsid w:val="00B51291"/>
    <w:rsid w:val="00B56D82"/>
    <w:rsid w:val="00B61186"/>
    <w:rsid w:val="00B723FA"/>
    <w:rsid w:val="00BA1341"/>
    <w:rsid w:val="00BA1C82"/>
    <w:rsid w:val="00BB4D1E"/>
    <w:rsid w:val="00BE729F"/>
    <w:rsid w:val="00BF2CE8"/>
    <w:rsid w:val="00C136B5"/>
    <w:rsid w:val="00C2474E"/>
    <w:rsid w:val="00C80A35"/>
    <w:rsid w:val="00C92A5B"/>
    <w:rsid w:val="00CB7C9E"/>
    <w:rsid w:val="00CD0DBF"/>
    <w:rsid w:val="00CD6A3F"/>
    <w:rsid w:val="00CE2CDE"/>
    <w:rsid w:val="00CF06D7"/>
    <w:rsid w:val="00D12F5F"/>
    <w:rsid w:val="00D2687B"/>
    <w:rsid w:val="00D331BF"/>
    <w:rsid w:val="00D42A96"/>
    <w:rsid w:val="00D46195"/>
    <w:rsid w:val="00D46FC5"/>
    <w:rsid w:val="00D85EB7"/>
    <w:rsid w:val="00DA6767"/>
    <w:rsid w:val="00DB4FEB"/>
    <w:rsid w:val="00DB6FC8"/>
    <w:rsid w:val="00DC2615"/>
    <w:rsid w:val="00DF519E"/>
    <w:rsid w:val="00E14FF2"/>
    <w:rsid w:val="00E23D30"/>
    <w:rsid w:val="00E31AB1"/>
    <w:rsid w:val="00E416C4"/>
    <w:rsid w:val="00E52761"/>
    <w:rsid w:val="00E82558"/>
    <w:rsid w:val="00E84728"/>
    <w:rsid w:val="00E95D2F"/>
    <w:rsid w:val="00EA00F7"/>
    <w:rsid w:val="00EB6EB1"/>
    <w:rsid w:val="00EC13E7"/>
    <w:rsid w:val="00EC5754"/>
    <w:rsid w:val="00ED385B"/>
    <w:rsid w:val="00ED5871"/>
    <w:rsid w:val="00EE0AFB"/>
    <w:rsid w:val="00EE69DE"/>
    <w:rsid w:val="00EF5AEB"/>
    <w:rsid w:val="00F456A5"/>
    <w:rsid w:val="00F85554"/>
    <w:rsid w:val="00F8737D"/>
    <w:rsid w:val="00FA0700"/>
    <w:rsid w:val="00FD66B3"/>
    <w:rsid w:val="00FF1E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D3615BD"/>
  <w15:docId w15:val="{B909B324-959A-49DC-B1D9-B52505FED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61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1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1E2"/>
  </w:style>
  <w:style w:type="paragraph" w:styleId="Footer">
    <w:name w:val="footer"/>
    <w:basedOn w:val="Normal"/>
    <w:link w:val="FooterChar"/>
    <w:uiPriority w:val="99"/>
    <w:unhideWhenUsed/>
    <w:rsid w:val="007861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1E2"/>
  </w:style>
  <w:style w:type="paragraph" w:styleId="BalloonText">
    <w:name w:val="Balloon Text"/>
    <w:basedOn w:val="Normal"/>
    <w:link w:val="BalloonTextChar"/>
    <w:uiPriority w:val="99"/>
    <w:semiHidden/>
    <w:unhideWhenUsed/>
    <w:rsid w:val="007861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1E2"/>
    <w:rPr>
      <w:rFonts w:ascii="Tahoma" w:hAnsi="Tahoma" w:cs="Tahoma"/>
      <w:sz w:val="16"/>
      <w:szCs w:val="16"/>
    </w:rPr>
  </w:style>
  <w:style w:type="character" w:styleId="Hyperlink">
    <w:name w:val="Hyperlink"/>
    <w:basedOn w:val="DefaultParagraphFont"/>
    <w:uiPriority w:val="99"/>
    <w:unhideWhenUsed/>
    <w:rsid w:val="0032479B"/>
    <w:rPr>
      <w:color w:val="0000FF" w:themeColor="hyperlink"/>
      <w:u w:val="single"/>
    </w:rPr>
  </w:style>
  <w:style w:type="character" w:styleId="CommentReference">
    <w:name w:val="annotation reference"/>
    <w:basedOn w:val="DefaultParagraphFont"/>
    <w:uiPriority w:val="99"/>
    <w:semiHidden/>
    <w:unhideWhenUsed/>
    <w:rsid w:val="0094210A"/>
    <w:rPr>
      <w:sz w:val="16"/>
      <w:szCs w:val="16"/>
    </w:rPr>
  </w:style>
  <w:style w:type="paragraph" w:styleId="CommentText">
    <w:name w:val="annotation text"/>
    <w:basedOn w:val="Normal"/>
    <w:link w:val="CommentTextChar"/>
    <w:uiPriority w:val="99"/>
    <w:semiHidden/>
    <w:unhideWhenUsed/>
    <w:rsid w:val="0094210A"/>
    <w:pPr>
      <w:spacing w:line="240" w:lineRule="auto"/>
    </w:pPr>
  </w:style>
  <w:style w:type="character" w:customStyle="1" w:styleId="CommentTextChar">
    <w:name w:val="Comment Text Char"/>
    <w:basedOn w:val="DefaultParagraphFont"/>
    <w:link w:val="CommentText"/>
    <w:uiPriority w:val="99"/>
    <w:semiHidden/>
    <w:rsid w:val="0094210A"/>
  </w:style>
  <w:style w:type="paragraph" w:styleId="CommentSubject">
    <w:name w:val="annotation subject"/>
    <w:basedOn w:val="CommentText"/>
    <w:next w:val="CommentText"/>
    <w:link w:val="CommentSubjectChar"/>
    <w:uiPriority w:val="99"/>
    <w:semiHidden/>
    <w:unhideWhenUsed/>
    <w:rsid w:val="0094210A"/>
    <w:rPr>
      <w:b/>
      <w:bCs/>
    </w:rPr>
  </w:style>
  <w:style w:type="character" w:customStyle="1" w:styleId="CommentSubjectChar">
    <w:name w:val="Comment Subject Char"/>
    <w:basedOn w:val="CommentTextChar"/>
    <w:link w:val="CommentSubject"/>
    <w:uiPriority w:val="99"/>
    <w:semiHidden/>
    <w:rsid w:val="0094210A"/>
    <w:rPr>
      <w:b/>
      <w:bCs/>
    </w:rPr>
  </w:style>
  <w:style w:type="paragraph" w:styleId="Revision">
    <w:name w:val="Revision"/>
    <w:hidden/>
    <w:uiPriority w:val="99"/>
    <w:semiHidden/>
    <w:rsid w:val="0094210A"/>
    <w:pPr>
      <w:spacing w:after="0" w:line="240" w:lineRule="auto"/>
    </w:pPr>
  </w:style>
  <w:style w:type="character" w:styleId="FollowedHyperlink">
    <w:name w:val="FollowedHyperlink"/>
    <w:basedOn w:val="DefaultParagraphFont"/>
    <w:uiPriority w:val="99"/>
    <w:semiHidden/>
    <w:unhideWhenUsed/>
    <w:rsid w:val="000E6E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7019115">
      <w:bodyDiv w:val="1"/>
      <w:marLeft w:val="0"/>
      <w:marRight w:val="0"/>
      <w:marTop w:val="0"/>
      <w:marBottom w:val="0"/>
      <w:divBdr>
        <w:top w:val="none" w:sz="0" w:space="0" w:color="auto"/>
        <w:left w:val="none" w:sz="0" w:space="0" w:color="auto"/>
        <w:bottom w:val="none" w:sz="0" w:space="0" w:color="auto"/>
        <w:right w:val="none" w:sz="0" w:space="0" w:color="auto"/>
      </w:divBdr>
      <w:divsChild>
        <w:div w:id="580993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174773">
              <w:marLeft w:val="0"/>
              <w:marRight w:val="0"/>
              <w:marTop w:val="0"/>
              <w:marBottom w:val="0"/>
              <w:divBdr>
                <w:top w:val="none" w:sz="0" w:space="0" w:color="auto"/>
                <w:left w:val="none" w:sz="0" w:space="0" w:color="auto"/>
                <w:bottom w:val="none" w:sz="0" w:space="0" w:color="auto"/>
                <w:right w:val="none" w:sz="0" w:space="0" w:color="auto"/>
              </w:divBdr>
              <w:divsChild>
                <w:div w:id="275406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646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915670">
      <w:bodyDiv w:val="1"/>
      <w:marLeft w:val="0"/>
      <w:marRight w:val="0"/>
      <w:marTop w:val="0"/>
      <w:marBottom w:val="0"/>
      <w:divBdr>
        <w:top w:val="none" w:sz="0" w:space="0" w:color="auto"/>
        <w:left w:val="none" w:sz="0" w:space="0" w:color="auto"/>
        <w:bottom w:val="none" w:sz="0" w:space="0" w:color="auto"/>
        <w:right w:val="none" w:sz="0" w:space="0" w:color="auto"/>
      </w:divBdr>
      <w:divsChild>
        <w:div w:id="411893966">
          <w:marLeft w:val="0"/>
          <w:marRight w:val="0"/>
          <w:marTop w:val="0"/>
          <w:marBottom w:val="0"/>
          <w:divBdr>
            <w:top w:val="none" w:sz="0" w:space="0" w:color="auto"/>
            <w:left w:val="none" w:sz="0" w:space="0" w:color="auto"/>
            <w:bottom w:val="none" w:sz="0" w:space="0" w:color="auto"/>
            <w:right w:val="none" w:sz="0" w:space="0" w:color="auto"/>
          </w:divBdr>
        </w:div>
        <w:div w:id="1468740209">
          <w:marLeft w:val="0"/>
          <w:marRight w:val="0"/>
          <w:marTop w:val="0"/>
          <w:marBottom w:val="0"/>
          <w:divBdr>
            <w:top w:val="none" w:sz="0" w:space="0" w:color="auto"/>
            <w:left w:val="none" w:sz="0" w:space="0" w:color="auto"/>
            <w:bottom w:val="none" w:sz="0" w:space="0" w:color="auto"/>
            <w:right w:val="none" w:sz="0" w:space="0" w:color="auto"/>
          </w:divBdr>
        </w:div>
        <w:div w:id="725302107">
          <w:marLeft w:val="0"/>
          <w:marRight w:val="0"/>
          <w:marTop w:val="0"/>
          <w:marBottom w:val="0"/>
          <w:divBdr>
            <w:top w:val="none" w:sz="0" w:space="0" w:color="auto"/>
            <w:left w:val="none" w:sz="0" w:space="0" w:color="auto"/>
            <w:bottom w:val="none" w:sz="0" w:space="0" w:color="auto"/>
            <w:right w:val="none" w:sz="0" w:space="0" w:color="auto"/>
          </w:divBdr>
        </w:div>
        <w:div w:id="814302039">
          <w:marLeft w:val="0"/>
          <w:marRight w:val="0"/>
          <w:marTop w:val="0"/>
          <w:marBottom w:val="0"/>
          <w:divBdr>
            <w:top w:val="none" w:sz="0" w:space="0" w:color="auto"/>
            <w:left w:val="none" w:sz="0" w:space="0" w:color="auto"/>
            <w:bottom w:val="none" w:sz="0" w:space="0" w:color="auto"/>
            <w:right w:val="none" w:sz="0" w:space="0" w:color="auto"/>
          </w:divBdr>
        </w:div>
        <w:div w:id="2143421427">
          <w:marLeft w:val="0"/>
          <w:marRight w:val="0"/>
          <w:marTop w:val="0"/>
          <w:marBottom w:val="0"/>
          <w:divBdr>
            <w:top w:val="none" w:sz="0" w:space="0" w:color="auto"/>
            <w:left w:val="none" w:sz="0" w:space="0" w:color="auto"/>
            <w:bottom w:val="none" w:sz="0" w:space="0" w:color="auto"/>
            <w:right w:val="none" w:sz="0" w:space="0" w:color="auto"/>
          </w:divBdr>
        </w:div>
        <w:div w:id="2062361972">
          <w:marLeft w:val="0"/>
          <w:marRight w:val="0"/>
          <w:marTop w:val="0"/>
          <w:marBottom w:val="0"/>
          <w:divBdr>
            <w:top w:val="none" w:sz="0" w:space="0" w:color="auto"/>
            <w:left w:val="none" w:sz="0" w:space="0" w:color="auto"/>
            <w:bottom w:val="none" w:sz="0" w:space="0" w:color="auto"/>
            <w:right w:val="none" w:sz="0" w:space="0" w:color="auto"/>
          </w:divBdr>
        </w:div>
        <w:div w:id="1845851159">
          <w:marLeft w:val="0"/>
          <w:marRight w:val="0"/>
          <w:marTop w:val="0"/>
          <w:marBottom w:val="0"/>
          <w:divBdr>
            <w:top w:val="none" w:sz="0" w:space="0" w:color="auto"/>
            <w:left w:val="none" w:sz="0" w:space="0" w:color="auto"/>
            <w:bottom w:val="none" w:sz="0" w:space="0" w:color="auto"/>
            <w:right w:val="none" w:sz="0" w:space="0" w:color="auto"/>
          </w:divBdr>
        </w:div>
        <w:div w:id="1132594490">
          <w:marLeft w:val="0"/>
          <w:marRight w:val="0"/>
          <w:marTop w:val="0"/>
          <w:marBottom w:val="0"/>
          <w:divBdr>
            <w:top w:val="none" w:sz="0" w:space="0" w:color="auto"/>
            <w:left w:val="none" w:sz="0" w:space="0" w:color="auto"/>
            <w:bottom w:val="none" w:sz="0" w:space="0" w:color="auto"/>
            <w:right w:val="none" w:sz="0" w:space="0" w:color="auto"/>
          </w:divBdr>
        </w:div>
        <w:div w:id="20978281">
          <w:marLeft w:val="0"/>
          <w:marRight w:val="0"/>
          <w:marTop w:val="0"/>
          <w:marBottom w:val="0"/>
          <w:divBdr>
            <w:top w:val="none" w:sz="0" w:space="0" w:color="auto"/>
            <w:left w:val="none" w:sz="0" w:space="0" w:color="auto"/>
            <w:bottom w:val="none" w:sz="0" w:space="0" w:color="auto"/>
            <w:right w:val="none" w:sz="0" w:space="0" w:color="auto"/>
          </w:divBdr>
        </w:div>
        <w:div w:id="722632522">
          <w:marLeft w:val="0"/>
          <w:marRight w:val="0"/>
          <w:marTop w:val="0"/>
          <w:marBottom w:val="0"/>
          <w:divBdr>
            <w:top w:val="none" w:sz="0" w:space="0" w:color="auto"/>
            <w:left w:val="none" w:sz="0" w:space="0" w:color="auto"/>
            <w:bottom w:val="none" w:sz="0" w:space="0" w:color="auto"/>
            <w:right w:val="none" w:sz="0" w:space="0" w:color="auto"/>
          </w:divBdr>
        </w:div>
        <w:div w:id="1790009596">
          <w:marLeft w:val="0"/>
          <w:marRight w:val="0"/>
          <w:marTop w:val="0"/>
          <w:marBottom w:val="0"/>
          <w:divBdr>
            <w:top w:val="none" w:sz="0" w:space="0" w:color="auto"/>
            <w:left w:val="none" w:sz="0" w:space="0" w:color="auto"/>
            <w:bottom w:val="none" w:sz="0" w:space="0" w:color="auto"/>
            <w:right w:val="none" w:sz="0" w:space="0" w:color="auto"/>
          </w:divBdr>
        </w:div>
        <w:div w:id="1522284146">
          <w:marLeft w:val="0"/>
          <w:marRight w:val="0"/>
          <w:marTop w:val="0"/>
          <w:marBottom w:val="0"/>
          <w:divBdr>
            <w:top w:val="none" w:sz="0" w:space="0" w:color="auto"/>
            <w:left w:val="none" w:sz="0" w:space="0" w:color="auto"/>
            <w:bottom w:val="none" w:sz="0" w:space="0" w:color="auto"/>
            <w:right w:val="none" w:sz="0" w:space="0" w:color="auto"/>
          </w:divBdr>
        </w:div>
        <w:div w:id="1409570809">
          <w:marLeft w:val="0"/>
          <w:marRight w:val="0"/>
          <w:marTop w:val="0"/>
          <w:marBottom w:val="0"/>
          <w:divBdr>
            <w:top w:val="none" w:sz="0" w:space="0" w:color="auto"/>
            <w:left w:val="none" w:sz="0" w:space="0" w:color="auto"/>
            <w:bottom w:val="none" w:sz="0" w:space="0" w:color="auto"/>
            <w:right w:val="none" w:sz="0" w:space="0" w:color="auto"/>
          </w:divBdr>
        </w:div>
        <w:div w:id="65883539">
          <w:marLeft w:val="0"/>
          <w:marRight w:val="0"/>
          <w:marTop w:val="0"/>
          <w:marBottom w:val="0"/>
          <w:divBdr>
            <w:top w:val="none" w:sz="0" w:space="0" w:color="auto"/>
            <w:left w:val="none" w:sz="0" w:space="0" w:color="auto"/>
            <w:bottom w:val="none" w:sz="0" w:space="0" w:color="auto"/>
            <w:right w:val="none" w:sz="0" w:space="0" w:color="auto"/>
          </w:divBdr>
        </w:div>
        <w:div w:id="825321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utah.eeri.org/?p=441" TargetMode="External"/><Relationship Id="rId18" Type="http://schemas.openxmlformats.org/officeDocument/2006/relationships/hyperlink" Target="mailto:wong@lettisci.com"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eader" Target="header1.xml"/><Relationship Id="rId12" Type="http://schemas.openxmlformats.org/officeDocument/2006/relationships/hyperlink" Target="http://dem.utah.gov/wp-content/uploads/sites/18/2015/03/RS1058_EERI_SLC_EQ_Scenario.pd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pubs.er.usgs.gov/publication/fs20163019"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utah.gov/beready/documents/roots_earthquake_low.pdf" TargetMode="External"/><Relationship Id="rId5" Type="http://schemas.openxmlformats.org/officeDocument/2006/relationships/footnotes" Target="footnotes.xml"/><Relationship Id="rId15" Type="http://schemas.openxmlformats.org/officeDocument/2006/relationships/hyperlink" Target="http://geology.utah.gov/" TargetMode="External"/><Relationship Id="rId23" Type="http://schemas.openxmlformats.org/officeDocument/2006/relationships/theme" Target="theme/theme1.xml"/><Relationship Id="rId10" Type="http://schemas.openxmlformats.org/officeDocument/2006/relationships/hyperlink" Target="http://www.utah.gov/beready/index.html"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hakeout.org/utah/" TargetMode="External"/><Relationship Id="rId14" Type="http://schemas.openxmlformats.org/officeDocument/2006/relationships/hyperlink" Target="http://www.mapstore.utah.gov/"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hyperlink" Target="http://www.geology.utah.gov"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hyperlink" Target="http://www.geology.utah.gov"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hyperlink" Target="http://www.geology.utah.gov"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67C318-7E5C-41A4-98AD-4A6C3E678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Pages>
  <Words>911</Words>
  <Characters>5199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6098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janettelucero</dc:creator>
  <cp:lastModifiedBy>Mike Hylland</cp:lastModifiedBy>
  <cp:revision>5</cp:revision>
  <cp:lastPrinted>2016-04-12T23:19:00Z</cp:lastPrinted>
  <dcterms:created xsi:type="dcterms:W3CDTF">2016-04-15T17:37:00Z</dcterms:created>
  <dcterms:modified xsi:type="dcterms:W3CDTF">2016-04-15T19:12:00Z</dcterms:modified>
</cp:coreProperties>
</file>