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firstLine="720"/>
        <w:contextualSpacing w:val="0"/>
        <w:jc w:val="both"/>
        <w:rPr>
          <w:b w:val="1"/>
          <w:i w:val="1"/>
          <w:color w:val="85200c"/>
          <w:sz w:val="28"/>
          <w:szCs w:val="28"/>
        </w:rPr>
      </w:pPr>
      <w:r w:rsidDel="00000000" w:rsidR="00000000" w:rsidRPr="00000000">
        <w:rPr>
          <w:b w:val="1"/>
          <w:i w:val="1"/>
          <w:color w:val="85200c"/>
          <w:sz w:val="28"/>
          <w:szCs w:val="28"/>
          <w:rtl w:val="0"/>
        </w:rPr>
        <w:t xml:space="preserve">        </w:t>
      </w:r>
      <w:r w:rsidDel="00000000" w:rsidR="00000000" w:rsidRPr="00000000">
        <w:rPr>
          <w:b w:val="1"/>
          <w:i w:val="1"/>
          <w:color w:val="85200c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Conference Agenda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firstLine="0"/>
        <w:contextualSpacing w:val="0"/>
        <w:jc w:val="both"/>
        <w:rPr>
          <w:i w:val="1"/>
          <w:color w:val="85200c"/>
          <w:sz w:val="20"/>
          <w:szCs w:val="20"/>
        </w:rPr>
      </w:pPr>
      <w:r w:rsidDel="00000000" w:rsidR="00000000" w:rsidRPr="00000000">
        <w:rPr>
          <w:i w:val="1"/>
          <w:color w:val="85200c"/>
          <w:sz w:val="24"/>
          <w:szCs w:val="24"/>
          <w:rtl w:val="0"/>
        </w:rPr>
        <w:t xml:space="preserve">              </w:t>
      </w:r>
      <w:r w:rsidDel="00000000" w:rsidR="00000000" w:rsidRPr="00000000">
        <w:rPr>
          <w:i w:val="1"/>
          <w:color w:val="85200c"/>
          <w:sz w:val="20"/>
          <w:szCs w:val="20"/>
          <w:rtl w:val="0"/>
        </w:rPr>
        <w:t xml:space="preserve">State Library Division - 250 North 1950 West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firstLine="720"/>
        <w:contextualSpacing w:val="0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8:3</w:t>
      </w:r>
      <w:r w:rsidDel="00000000" w:rsidR="00000000" w:rsidRPr="00000000">
        <w:rPr>
          <w:rtl w:val="0"/>
        </w:rPr>
        <w:t xml:space="preserve">0 am</w:t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Registration and Breakfast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egins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0</w:t>
      </w:r>
      <w:r w:rsidDel="00000000" w:rsidR="00000000" w:rsidRPr="00000000">
        <w:rPr>
          <w:rtl w:val="0"/>
        </w:rPr>
        <w:t xml:space="preserve"> - 9:15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Welcome </w:t>
      </w:r>
      <w:r w:rsidDel="00000000" w:rsidR="00000000" w:rsidRPr="00000000">
        <w:rPr>
          <w:i w:val="1"/>
          <w:color w:val="000000"/>
          <w:rtl w:val="0"/>
        </w:rPr>
        <w:t xml:space="preserve">and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State </w:t>
      </w:r>
      <w:r w:rsidDel="00000000" w:rsidR="00000000" w:rsidRPr="00000000">
        <w:rPr>
          <w:b w:val="1"/>
          <w:rtl w:val="0"/>
        </w:rPr>
        <w:t xml:space="preserve">Hazardous Chemical Emergency Response Commission (SERC)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Jona Whitesides, Division of Emergency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  <w:t xml:space="preserve">9:20 - 10:20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 </w:t>
        <w:tab/>
        <w:tab/>
      </w:r>
      <w:r w:rsidDel="00000000" w:rsidR="00000000" w:rsidRPr="00000000">
        <w:rPr>
          <w:b w:val="1"/>
          <w:highlight w:val="white"/>
          <w:rtl w:val="0"/>
        </w:rPr>
        <w:t xml:space="preserve">Environmental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 Protection Agency (EPA)</w:t>
      </w:r>
      <w:r w:rsidDel="00000000" w:rsidR="00000000" w:rsidRPr="00000000">
        <w:rPr>
          <w:b w:val="1"/>
          <w:highlight w:val="white"/>
          <w:rtl w:val="0"/>
        </w:rPr>
        <w:t xml:space="preserve">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rtl w:val="0"/>
        </w:rPr>
        <w:t xml:space="preserve">Bre Bock</w:t>
      </w:r>
      <w:r w:rsidDel="00000000" w:rsidR="00000000" w:rsidRPr="00000000">
        <w:rPr>
          <w:i w:val="1"/>
          <w:rtl w:val="0"/>
        </w:rPr>
        <w:t xml:space="preserve">stahler, EPA Region VIII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~ Break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10:35 - 11:05</w:t>
      </w: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HazMat Clean-up Guidance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D">
      <w:pPr>
        <w:spacing w:after="0" w:line="240" w:lineRule="auto"/>
        <w:ind w:left="1440" w:firstLine="720"/>
        <w:contextualSpacing w:val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Neil Taylor, DEQ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11:10 - 11:35</w:t>
        <w:tab/>
        <w:tab/>
      </w:r>
      <w:r w:rsidDel="00000000" w:rsidR="00000000" w:rsidRPr="00000000">
        <w:rPr>
          <w:b w:val="1"/>
          <w:rtl w:val="0"/>
        </w:rPr>
        <w:t xml:space="preserve">Open Meeting Act and What you Need to Know for Public Meetings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Lynda Viti, DPS Assistant Attorney General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11:40 - 12:00 </w:t>
        <w:tab/>
        <w:tab/>
      </w:r>
      <w:r w:rsidDel="00000000" w:rsidR="00000000" w:rsidRPr="00000000">
        <w:rPr>
          <w:b w:val="1"/>
          <w:rtl w:val="0"/>
        </w:rPr>
        <w:t xml:space="preserve">HMEP Grant Information and Update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spacing w:after="0" w:line="240" w:lineRule="auto"/>
        <w:ind w:left="1440"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Art Deyo, Utah State Fire Marshal's Office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1440" w:firstLine="72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~ Lunch ~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 xml:space="preserve">1:00</w:t>
      </w:r>
      <w:r w:rsidDel="00000000" w:rsidR="00000000" w:rsidRPr="00000000">
        <w:rPr>
          <w:rtl w:val="0"/>
        </w:rPr>
        <w:t xml:space="preserve"> - 2:00</w:t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Union Pacific Railroad - </w:t>
      </w:r>
      <w:r w:rsidDel="00000000" w:rsidR="00000000" w:rsidRPr="00000000">
        <w:rPr>
          <w:b w:val="1"/>
          <w:i w:val="1"/>
          <w:rtl w:val="0"/>
        </w:rPr>
        <w:t xml:space="preserve">Who We Are</w:t>
      </w:r>
    </w:p>
    <w:p w:rsidR="00000000" w:rsidDel="00000000" w:rsidP="00000000" w:rsidRDefault="00000000" w:rsidRPr="00000000" w14:paraId="00000018">
      <w:pPr>
        <w:spacing w:after="0" w:line="240" w:lineRule="auto"/>
        <w:ind w:left="1440"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Jacob Hammer, Union Pacific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2:05 - 2:35</w:t>
        <w:tab/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National Preparedness for Response Exercise Program (PREP) 2018 Area Wide Exercise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Ryan Putman, Utah State Fire Marshal’s Office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~ Break ~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2:45 - 3:00</w:t>
        <w:tab/>
        <w:tab/>
      </w:r>
      <w:r w:rsidDel="00000000" w:rsidR="00000000" w:rsidRPr="00000000">
        <w:rPr>
          <w:b w:val="1"/>
          <w:rtl w:val="0"/>
        </w:rPr>
        <w:t xml:space="preserve">Tier II Reporting Updates and the DEQ Interactive Map </w:t>
      </w:r>
    </w:p>
    <w:p w:rsidR="00000000" w:rsidDel="00000000" w:rsidP="00000000" w:rsidRDefault="00000000" w:rsidRPr="00000000" w14:paraId="00000020">
      <w:pPr>
        <w:spacing w:after="0" w:line="240" w:lineRule="auto"/>
        <w:ind w:left="1440"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Melissa Ottley, DERR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3:05 - 3:45</w:t>
        <w:tab/>
        <w:tab/>
      </w:r>
      <w:r w:rsidDel="00000000" w:rsidR="00000000" w:rsidRPr="00000000">
        <w:rPr>
          <w:b w:val="1"/>
          <w:rtl w:val="0"/>
        </w:rPr>
        <w:t xml:space="preserve">Household Hazardous Waste Program Implementation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contextualSpacing w:val="0"/>
        <w:rPr>
          <w:rFonts w:ascii="Calibri" w:cs="Calibri" w:eastAsia="Calibri" w:hAnsi="Calibri"/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Eric Michaels, SLCo Environmental Health </w:t>
      </w:r>
      <w:r w:rsidDel="00000000" w:rsidR="00000000" w:rsidRPr="00000000">
        <w:rPr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Closing Remarks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6343650</wp:posOffset>
            </wp:positionH>
            <wp:positionV relativeFrom="paragraph">
              <wp:posOffset>266700</wp:posOffset>
            </wp:positionV>
            <wp:extent cx="600075" cy="600075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247650</wp:posOffset>
            </wp:positionV>
            <wp:extent cx="597423" cy="633413"/>
            <wp:effectExtent b="0" l="0" r="0" t="0"/>
            <wp:wrapSquare wrapText="bothSides" distB="114300" distT="114300" distL="114300" distR="114300"/>
            <wp:docPr descr="090853_UHS DPS Logo.FNL.png" id="1" name="image3.png"/>
            <a:graphic>
              <a:graphicData uri="http://schemas.openxmlformats.org/drawingml/2006/picture">
                <pic:pic>
                  <pic:nvPicPr>
                    <pic:cNvPr descr="090853_UHS DPS Logo.FNL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423" cy="633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080" w:top="144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0" w:line="240" w:lineRule="auto"/>
      <w:ind w:left="720" w:firstLine="0"/>
      <w:contextualSpacing w:val="0"/>
      <w:rPr/>
    </w:pPr>
    <w:r w:rsidDel="00000000" w:rsidR="00000000" w:rsidRPr="00000000">
      <w:rPr>
        <w:i w:val="1"/>
        <w:sz w:val="24"/>
        <w:szCs w:val="24"/>
        <w:rtl w:val="0"/>
      </w:rPr>
      <w:t xml:space="preserve">                    The Utah State Hazardous Chemical Emergency Response Commission (SERC)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contextualSpacing w:val="0"/>
      <w:jc w:val="center"/>
      <w:rPr>
        <w:rFonts w:ascii="Calibri" w:cs="Calibri" w:eastAsia="Calibri" w:hAnsi="Calibri"/>
        <w:b w:val="1"/>
        <w:color w:val="000000"/>
        <w:sz w:val="28"/>
        <w:szCs w:val="28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6858000" cy="14763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0833" l="0" r="0" t="6111"/>
                  <a:stretch>
                    <a:fillRect/>
                  </a:stretch>
                </pic:blipFill>
                <pic:spPr>
                  <a:xfrm>
                    <a:off x="0" y="0"/>
                    <a:ext cx="6858000" cy="1476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  <w:contextualSpacing w:val="0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  <w:contextualSpacing w:val="0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  <w:contextualSpacing w:val="0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  <w:contextualSpacing w:val="0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  <w:contextualSpacing w:val="0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  <w:contextualSpacing w:val="0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  <w:contextualSpacing w:val="0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